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C183D" w14:textId="087D68AB" w:rsidR="00A671E6" w:rsidRPr="00A671E6" w:rsidRDefault="00772BDC" w:rsidP="00A671E6">
      <w:pPr>
        <w:rPr>
          <w:color w:val="FF0000"/>
        </w:rPr>
      </w:pPr>
      <w:bookmarkStart w:id="0" w:name="_GoBack"/>
      <w:bookmarkEnd w:id="0"/>
      <w:r>
        <w:rPr>
          <w:rFonts w:cs="Arial"/>
          <w:noProof/>
          <w:lang w:eastAsia="en-GB" w:bidi="ar-SA"/>
        </w:rPr>
        <w:drawing>
          <wp:inline distT="0" distB="0" distL="0" distR="0" wp14:anchorId="32DB846A" wp14:editId="4E252304">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8"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6A2AC4E8" w14:textId="34AA118E" w:rsidR="00A671E6" w:rsidRPr="00DC7C4A" w:rsidRDefault="00DC7C4A" w:rsidP="00A671E6">
      <w:pPr>
        <w:rPr>
          <w:b/>
          <w:sz w:val="28"/>
          <w:szCs w:val="28"/>
        </w:rPr>
      </w:pPr>
      <w:r w:rsidRPr="00DC7C4A">
        <w:rPr>
          <w:b/>
          <w:sz w:val="28"/>
          <w:szCs w:val="28"/>
        </w:rPr>
        <w:t>15</w:t>
      </w:r>
      <w:r w:rsidR="00A671E6" w:rsidRPr="00DC7C4A">
        <w:rPr>
          <w:b/>
          <w:sz w:val="28"/>
          <w:szCs w:val="28"/>
        </w:rPr>
        <w:t xml:space="preserve"> </w:t>
      </w:r>
      <w:r w:rsidRPr="00DC7C4A">
        <w:rPr>
          <w:b/>
          <w:sz w:val="28"/>
          <w:szCs w:val="28"/>
        </w:rPr>
        <w:t>December</w:t>
      </w:r>
      <w:r w:rsidR="00C11502" w:rsidRPr="00DC7C4A">
        <w:rPr>
          <w:b/>
          <w:sz w:val="28"/>
          <w:szCs w:val="28"/>
        </w:rPr>
        <w:t xml:space="preserve"> 2020</w:t>
      </w:r>
    </w:p>
    <w:p w14:paraId="05D0F5F1" w14:textId="2FD54993" w:rsidR="00A671E6" w:rsidRPr="00DC7C4A" w:rsidRDefault="00A671E6" w:rsidP="00A671E6">
      <w:pPr>
        <w:rPr>
          <w:b/>
          <w:sz w:val="28"/>
          <w:szCs w:val="28"/>
        </w:rPr>
      </w:pPr>
      <w:r w:rsidRPr="00DC7C4A">
        <w:rPr>
          <w:b/>
          <w:sz w:val="28"/>
          <w:szCs w:val="28"/>
        </w:rPr>
        <w:t>[</w:t>
      </w:r>
      <w:r w:rsidR="00DC7C4A" w:rsidRPr="00DC7C4A">
        <w:rPr>
          <w:b/>
          <w:sz w:val="28"/>
          <w:szCs w:val="28"/>
        </w:rPr>
        <w:t>145</w:t>
      </w:r>
      <w:r w:rsidR="00831154" w:rsidRPr="00DC7C4A">
        <w:rPr>
          <w:b/>
          <w:sz w:val="28"/>
          <w:szCs w:val="28"/>
        </w:rPr>
        <w:t>-</w:t>
      </w:r>
      <w:r w:rsidR="00BF541F" w:rsidRPr="00DC7C4A">
        <w:rPr>
          <w:b/>
          <w:sz w:val="28"/>
          <w:szCs w:val="28"/>
        </w:rPr>
        <w:t>2</w:t>
      </w:r>
      <w:r w:rsidR="00DC7C4A" w:rsidRPr="00DC7C4A">
        <w:rPr>
          <w:b/>
          <w:sz w:val="28"/>
          <w:szCs w:val="28"/>
        </w:rPr>
        <w:t>0</w:t>
      </w:r>
      <w:r w:rsidRPr="00DC7C4A">
        <w:rPr>
          <w:b/>
          <w:sz w:val="28"/>
          <w:szCs w:val="28"/>
        </w:rPr>
        <w:t>]</w:t>
      </w:r>
    </w:p>
    <w:p w14:paraId="3C77C31E" w14:textId="77777777" w:rsidR="00A671E6" w:rsidRPr="00A671E6" w:rsidRDefault="00A671E6" w:rsidP="00A671E6"/>
    <w:p w14:paraId="63744F20" w14:textId="1FA1B92D" w:rsidR="003A7B84" w:rsidRPr="00C11502" w:rsidRDefault="00B425AA" w:rsidP="0020373D">
      <w:pPr>
        <w:pStyle w:val="FSTitle"/>
        <w:rPr>
          <w:bCs w:val="0"/>
        </w:rPr>
      </w:pPr>
      <w:r w:rsidRPr="00CA5734">
        <w:t>A</w:t>
      </w:r>
      <w:r w:rsidR="00DD265C">
        <w:t>pproval</w:t>
      </w:r>
      <w:r w:rsidRPr="00CA5734">
        <w:t xml:space="preserve"> </w:t>
      </w:r>
      <w:r w:rsidR="00B77C18">
        <w:t>r</w:t>
      </w:r>
      <w:r w:rsidR="00DD265C" w:rsidRPr="00CA5734">
        <w:t>eport</w:t>
      </w:r>
      <w:r w:rsidRPr="000B427A">
        <w:t xml:space="preserve"> – </w:t>
      </w:r>
      <w:r w:rsidR="00EB6590" w:rsidRPr="00C11502">
        <w:t>A</w:t>
      </w:r>
      <w:r w:rsidR="00DD265C" w:rsidRPr="00C11502">
        <w:t>pplication</w:t>
      </w:r>
      <w:r w:rsidR="00CA5734" w:rsidRPr="00C11502">
        <w:t xml:space="preserve"> </w:t>
      </w:r>
      <w:r w:rsidR="0020373D" w:rsidRPr="00C11502">
        <w:t>A1180</w:t>
      </w:r>
      <w:r w:rsidR="0020373D" w:rsidRPr="00C11502">
        <w:rPr>
          <w:bCs w:val="0"/>
        </w:rPr>
        <w:t xml:space="preserve"> </w:t>
      </w:r>
    </w:p>
    <w:p w14:paraId="1A49A3C1" w14:textId="77777777" w:rsidR="00C11502" w:rsidRPr="00C11502" w:rsidRDefault="00C11502" w:rsidP="0020373D">
      <w:pPr>
        <w:pStyle w:val="FSTitle"/>
      </w:pPr>
    </w:p>
    <w:p w14:paraId="000C7564" w14:textId="05732CFE" w:rsidR="0012388D" w:rsidRPr="00C11502" w:rsidRDefault="0020373D" w:rsidP="00B425AA">
      <w:pPr>
        <w:pStyle w:val="FSTitle"/>
        <w:rPr>
          <w:szCs w:val="32"/>
        </w:rPr>
      </w:pPr>
      <w:r w:rsidRPr="00C11502">
        <w:rPr>
          <w:szCs w:val="32"/>
        </w:rPr>
        <w:t xml:space="preserve">Natural Glycolipids as a preservative in non-alcoholic beverages </w:t>
      </w:r>
    </w:p>
    <w:p w14:paraId="79002CFB" w14:textId="77777777" w:rsidR="003A7B84" w:rsidRPr="00E327A6" w:rsidRDefault="003A7B84" w:rsidP="00871116">
      <w:pPr>
        <w:pBdr>
          <w:bottom w:val="single" w:sz="12" w:space="1" w:color="auto"/>
        </w:pBdr>
        <w:tabs>
          <w:tab w:val="left" w:pos="1140"/>
        </w:tabs>
        <w:rPr>
          <w:rFonts w:cs="Arial"/>
          <w:bCs/>
        </w:rPr>
      </w:pPr>
    </w:p>
    <w:p w14:paraId="16CA871C" w14:textId="77777777" w:rsidR="003A7B84" w:rsidRPr="00E327A6" w:rsidRDefault="003A7B84" w:rsidP="003A7B84"/>
    <w:p w14:paraId="72ADE9E7" w14:textId="5AD2DC07" w:rsidR="00EB6590" w:rsidRDefault="000F3CFE" w:rsidP="00CA5734">
      <w:r>
        <w:t>Food Standards Australia New Zealand (FSANZ) has</w:t>
      </w:r>
      <w:r w:rsidR="00081B0A">
        <w:t xml:space="preserve"> assessed </w:t>
      </w:r>
      <w:r w:rsidR="00081B0A" w:rsidRPr="00C11502">
        <w:t>an application</w:t>
      </w:r>
      <w:r w:rsidR="00CA5734" w:rsidRPr="00C11502">
        <w:t xml:space="preserve"> </w:t>
      </w:r>
      <w:r w:rsidR="00081B0A" w:rsidRPr="00C11502">
        <w:t xml:space="preserve">made by </w:t>
      </w:r>
      <w:r w:rsidR="0020373D" w:rsidRPr="00C11502">
        <w:t xml:space="preserve">LANXESS Deutschland GmbH </w:t>
      </w:r>
      <w:r w:rsidR="00CA5734" w:rsidRPr="00C11502">
        <w:t>to</w:t>
      </w:r>
      <w:r w:rsidR="0020373D" w:rsidRPr="00C11502">
        <w:t xml:space="preserve"> permit the use of long-chain glycolipids from </w:t>
      </w:r>
      <w:r w:rsidR="0020373D" w:rsidRPr="003D2704">
        <w:rPr>
          <w:i/>
        </w:rPr>
        <w:t>Dacryopinax spathularia</w:t>
      </w:r>
      <w:r w:rsidR="0020373D" w:rsidRPr="00C11502">
        <w:t xml:space="preserve"> (“</w:t>
      </w:r>
      <w:r w:rsidR="00C11502">
        <w:t>jelly mushroom glycolipids</w:t>
      </w:r>
      <w:r w:rsidR="0020373D" w:rsidRPr="00C11502">
        <w:t>”) as a preservative in non-alcoholic beverages</w:t>
      </w:r>
      <w:r w:rsidR="00081B0A" w:rsidRPr="00C11502">
        <w:t>.</w:t>
      </w:r>
    </w:p>
    <w:p w14:paraId="14F32D9E" w14:textId="77777777" w:rsidR="00CA5734" w:rsidRDefault="00CA5734" w:rsidP="00CA5734"/>
    <w:p w14:paraId="5029D30D" w14:textId="1698DEBE" w:rsidR="00081B0A" w:rsidRDefault="00081B0A" w:rsidP="00CA5734">
      <w:r w:rsidRPr="00C11502">
        <w:t xml:space="preserve">On </w:t>
      </w:r>
      <w:r w:rsidR="00C11502" w:rsidRPr="00C11502">
        <w:t>6 August 2020</w:t>
      </w:r>
      <w:r w:rsidR="003A7B84" w:rsidRPr="00C11502">
        <w:t>,</w:t>
      </w:r>
      <w:r w:rsidRPr="00C11502">
        <w:t xml:space="preserve"> FSANZ </w:t>
      </w:r>
      <w:r>
        <w:t xml:space="preserve">sought </w:t>
      </w:r>
      <w:hyperlink r:id="rId9" w:history="1">
        <w:r w:rsidR="003A7B84" w:rsidRPr="00760C15">
          <w:rPr>
            <w:rStyle w:val="Hyperlink"/>
          </w:rPr>
          <w:t>submissions</w:t>
        </w:r>
      </w:hyperlink>
      <w:r w:rsidR="003A7B84">
        <w:t xml:space="preserve"> </w:t>
      </w:r>
      <w:r w:rsidR="00A671E6">
        <w:t xml:space="preserve">on </w:t>
      </w:r>
      <w:r w:rsidR="00F526BD">
        <w:t xml:space="preserve">a draft </w:t>
      </w:r>
      <w:r w:rsidR="00E30092" w:rsidRPr="00C11502">
        <w:t xml:space="preserve">variation </w:t>
      </w:r>
      <w:r w:rsidR="003A7B84">
        <w:t xml:space="preserve">and published an </w:t>
      </w:r>
      <w:r w:rsidR="00EC21DF">
        <w:t>associated r</w:t>
      </w:r>
      <w:r w:rsidR="003A7B84">
        <w:t>eport</w:t>
      </w:r>
      <w:r>
        <w:t>.</w:t>
      </w:r>
      <w:r w:rsidR="00D90705">
        <w:t xml:space="preserve"> FSANZ received </w:t>
      </w:r>
      <w:r w:rsidR="00DB41DB">
        <w:t>four</w:t>
      </w:r>
      <w:r w:rsidR="00F526BD">
        <w:t xml:space="preserve"> submissions.</w:t>
      </w:r>
    </w:p>
    <w:p w14:paraId="6F926C97" w14:textId="77777777" w:rsidR="00CA5734" w:rsidRDefault="00CA5734" w:rsidP="00CA5734"/>
    <w:p w14:paraId="5F5CD903" w14:textId="4F121076" w:rsidR="00081B0A" w:rsidRPr="00DC7C4A" w:rsidRDefault="00081B0A" w:rsidP="00CA5734">
      <w:r w:rsidRPr="00DC7C4A">
        <w:t xml:space="preserve">FSANZ approved the draft </w:t>
      </w:r>
      <w:r w:rsidR="00E30092" w:rsidRPr="00DC7C4A">
        <w:t xml:space="preserve">variation </w:t>
      </w:r>
      <w:r w:rsidR="0012388D" w:rsidRPr="00DC7C4A">
        <w:t xml:space="preserve">on </w:t>
      </w:r>
      <w:r w:rsidR="00DC7C4A" w:rsidRPr="00DC7C4A">
        <w:t>1 December 2020</w:t>
      </w:r>
      <w:r w:rsidRPr="00DC7C4A">
        <w:t xml:space="preserve">. </w:t>
      </w:r>
      <w:r w:rsidR="003A7B84" w:rsidRPr="00DC7C4A">
        <w:t xml:space="preserve">The </w:t>
      </w:r>
      <w:r w:rsidR="00011187" w:rsidRPr="00DC7C4A">
        <w:rPr>
          <w:rFonts w:cs="Helvetica"/>
          <w:lang w:val="en-AU"/>
        </w:rPr>
        <w:t xml:space="preserve">Australia and New Zealand Ministerial Forum on Food </w:t>
      </w:r>
      <w:r w:rsidR="00011187" w:rsidRPr="00DC7C4A">
        <w:rPr>
          <w:rFonts w:cs="Arial"/>
        </w:rPr>
        <w:t>Regulation</w:t>
      </w:r>
      <w:r w:rsidR="003A7B84" w:rsidRPr="00DC7C4A">
        <w:t xml:space="preserve"> was notified of FSANZ’s decision on </w:t>
      </w:r>
      <w:r w:rsidR="00DC7C4A" w:rsidRPr="00DC7C4A">
        <w:t>15 December 2020</w:t>
      </w:r>
      <w:r w:rsidR="003A7B84" w:rsidRPr="00DC7C4A">
        <w:t>.</w:t>
      </w:r>
    </w:p>
    <w:p w14:paraId="07FE212F" w14:textId="77777777" w:rsidR="00CA5734" w:rsidRDefault="00CA5734" w:rsidP="00CA5734"/>
    <w:p w14:paraId="3B4BBA6D" w14:textId="409F8F06" w:rsidR="00081B0A" w:rsidRDefault="003A7B84" w:rsidP="00292B9B">
      <w:r>
        <w:t>This R</w:t>
      </w:r>
      <w:r w:rsidR="00B425AA">
        <w:t xml:space="preserve">eport is provided pursuant to </w:t>
      </w:r>
      <w:r w:rsidR="009A2699">
        <w:t>paragraph</w:t>
      </w:r>
      <w:r w:rsidR="00081B0A">
        <w:t xml:space="preserve"> </w:t>
      </w:r>
      <w:r w:rsidR="00081B0A" w:rsidRPr="00C11502">
        <w:t xml:space="preserve">33(1)(b) of </w:t>
      </w:r>
      <w:r w:rsidR="00081B0A">
        <w:t xml:space="preserve">the </w:t>
      </w:r>
      <w:r w:rsidR="00081B0A" w:rsidRPr="0012388D">
        <w:rPr>
          <w:i/>
        </w:rPr>
        <w:t>Food Standards Australia New Zealand Act 1991</w:t>
      </w:r>
      <w:r w:rsidR="00081B0A">
        <w:t xml:space="preserve"> (the FSANZ Act).</w:t>
      </w:r>
    </w:p>
    <w:p w14:paraId="633BC3D5" w14:textId="77777777" w:rsidR="00F526BD" w:rsidRDefault="00F526BD" w:rsidP="00A671E6"/>
    <w:p w14:paraId="06D4B33A" w14:textId="77777777" w:rsidR="00EB6590" w:rsidRDefault="00EB6590" w:rsidP="00F526BD"/>
    <w:p w14:paraId="28EC5A50" w14:textId="77777777" w:rsidR="00A671E6" w:rsidRDefault="00A671E6" w:rsidP="00CC5468">
      <w:pPr>
        <w:sectPr w:rsidR="00A671E6" w:rsidSect="00EB576F">
          <w:footerReference w:type="even" r:id="rId10"/>
          <w:footerReference w:type="default" r:id="rId11"/>
          <w:headerReference w:type="first" r:id="rId12"/>
          <w:pgSz w:w="11906" w:h="16838" w:code="9"/>
          <w:pgMar w:top="1418" w:right="1418" w:bottom="1418" w:left="1418" w:header="709" w:footer="709" w:gutter="0"/>
          <w:pgNumType w:fmt="lowerRoman" w:start="1"/>
          <w:cols w:space="708"/>
          <w:docGrid w:linePitch="360"/>
        </w:sectPr>
      </w:pPr>
    </w:p>
    <w:p w14:paraId="0E51894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90C36F1" w14:textId="77777777" w:rsidR="00CE59AA" w:rsidRPr="00346622" w:rsidRDefault="00CE59AA" w:rsidP="00CE59AA">
      <w:pPr>
        <w:rPr>
          <w:rFonts w:cs="Arial"/>
          <w:sz w:val="20"/>
          <w:szCs w:val="20"/>
        </w:rPr>
      </w:pPr>
    </w:p>
    <w:p w14:paraId="4A15BB78" w14:textId="4E39B942" w:rsidR="00AC4D1A"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53137938" w:history="1">
        <w:r w:rsidR="00AC4D1A" w:rsidRPr="00714EB3">
          <w:rPr>
            <w:rStyle w:val="Hyperlink"/>
            <w:noProof/>
          </w:rPr>
          <w:t>Executive summary</w:t>
        </w:r>
        <w:r w:rsidR="00AC4D1A">
          <w:rPr>
            <w:noProof/>
            <w:webHidden/>
          </w:rPr>
          <w:tab/>
        </w:r>
        <w:r w:rsidR="00AC4D1A">
          <w:rPr>
            <w:noProof/>
            <w:webHidden/>
          </w:rPr>
          <w:fldChar w:fldCharType="begin"/>
        </w:r>
        <w:r w:rsidR="00AC4D1A">
          <w:rPr>
            <w:noProof/>
            <w:webHidden/>
          </w:rPr>
          <w:instrText xml:space="preserve"> PAGEREF _Toc53137938 \h </w:instrText>
        </w:r>
        <w:r w:rsidR="00AC4D1A">
          <w:rPr>
            <w:noProof/>
            <w:webHidden/>
          </w:rPr>
        </w:r>
        <w:r w:rsidR="00AC4D1A">
          <w:rPr>
            <w:noProof/>
            <w:webHidden/>
          </w:rPr>
          <w:fldChar w:fldCharType="separate"/>
        </w:r>
        <w:r w:rsidR="0084301B">
          <w:rPr>
            <w:noProof/>
            <w:webHidden/>
          </w:rPr>
          <w:t>3</w:t>
        </w:r>
        <w:r w:rsidR="00AC4D1A">
          <w:rPr>
            <w:noProof/>
            <w:webHidden/>
          </w:rPr>
          <w:fldChar w:fldCharType="end"/>
        </w:r>
      </w:hyperlink>
    </w:p>
    <w:p w14:paraId="3EC5CEC6" w14:textId="08CD76A0" w:rsidR="00AC4D1A" w:rsidRDefault="000923A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137939" w:history="1">
        <w:r w:rsidR="00AC4D1A" w:rsidRPr="00714EB3">
          <w:rPr>
            <w:rStyle w:val="Hyperlink"/>
            <w:noProof/>
          </w:rPr>
          <w:t>1</w:t>
        </w:r>
        <w:r w:rsidR="00AC4D1A">
          <w:rPr>
            <w:rFonts w:eastAsiaTheme="minorEastAsia" w:cstheme="minorBidi"/>
            <w:b w:val="0"/>
            <w:bCs w:val="0"/>
            <w:caps w:val="0"/>
            <w:noProof/>
            <w:sz w:val="22"/>
            <w:szCs w:val="22"/>
            <w:lang w:eastAsia="en-GB" w:bidi="ar-SA"/>
          </w:rPr>
          <w:tab/>
        </w:r>
        <w:r w:rsidR="00AC4D1A" w:rsidRPr="00714EB3">
          <w:rPr>
            <w:rStyle w:val="Hyperlink"/>
            <w:noProof/>
          </w:rPr>
          <w:t>Introduction</w:t>
        </w:r>
        <w:r w:rsidR="00AC4D1A">
          <w:rPr>
            <w:noProof/>
            <w:webHidden/>
          </w:rPr>
          <w:tab/>
        </w:r>
        <w:r w:rsidR="00AC4D1A">
          <w:rPr>
            <w:noProof/>
            <w:webHidden/>
          </w:rPr>
          <w:fldChar w:fldCharType="begin"/>
        </w:r>
        <w:r w:rsidR="00AC4D1A">
          <w:rPr>
            <w:noProof/>
            <w:webHidden/>
          </w:rPr>
          <w:instrText xml:space="preserve"> PAGEREF _Toc53137939 \h </w:instrText>
        </w:r>
        <w:r w:rsidR="00AC4D1A">
          <w:rPr>
            <w:noProof/>
            <w:webHidden/>
          </w:rPr>
        </w:r>
        <w:r w:rsidR="00AC4D1A">
          <w:rPr>
            <w:noProof/>
            <w:webHidden/>
          </w:rPr>
          <w:fldChar w:fldCharType="separate"/>
        </w:r>
        <w:r w:rsidR="0084301B">
          <w:rPr>
            <w:noProof/>
            <w:webHidden/>
          </w:rPr>
          <w:t>4</w:t>
        </w:r>
        <w:r w:rsidR="00AC4D1A">
          <w:rPr>
            <w:noProof/>
            <w:webHidden/>
          </w:rPr>
          <w:fldChar w:fldCharType="end"/>
        </w:r>
      </w:hyperlink>
    </w:p>
    <w:p w14:paraId="459A5626" w14:textId="0D801A04" w:rsidR="00AC4D1A" w:rsidRDefault="000923A6">
      <w:pPr>
        <w:pStyle w:val="TOC2"/>
        <w:tabs>
          <w:tab w:val="left" w:pos="880"/>
          <w:tab w:val="right" w:leader="dot" w:pos="9060"/>
        </w:tabs>
        <w:rPr>
          <w:rFonts w:eastAsiaTheme="minorEastAsia" w:cstheme="minorBidi"/>
          <w:smallCaps w:val="0"/>
          <w:noProof/>
          <w:sz w:val="22"/>
          <w:szCs w:val="22"/>
          <w:lang w:eastAsia="en-GB" w:bidi="ar-SA"/>
        </w:rPr>
      </w:pPr>
      <w:hyperlink w:anchor="_Toc53137940" w:history="1">
        <w:r w:rsidR="00AC4D1A" w:rsidRPr="00714EB3">
          <w:rPr>
            <w:rStyle w:val="Hyperlink"/>
            <w:noProof/>
          </w:rPr>
          <w:t>1.1</w:t>
        </w:r>
        <w:r w:rsidR="00AC4D1A">
          <w:rPr>
            <w:rFonts w:eastAsiaTheme="minorEastAsia" w:cstheme="minorBidi"/>
            <w:smallCaps w:val="0"/>
            <w:noProof/>
            <w:sz w:val="22"/>
            <w:szCs w:val="22"/>
            <w:lang w:eastAsia="en-GB" w:bidi="ar-SA"/>
          </w:rPr>
          <w:tab/>
        </w:r>
        <w:r w:rsidR="00AC4D1A" w:rsidRPr="00714EB3">
          <w:rPr>
            <w:rStyle w:val="Hyperlink"/>
            <w:noProof/>
          </w:rPr>
          <w:t>The Applicant</w:t>
        </w:r>
        <w:r w:rsidR="00AC4D1A">
          <w:rPr>
            <w:noProof/>
            <w:webHidden/>
          </w:rPr>
          <w:tab/>
        </w:r>
        <w:r w:rsidR="00AC4D1A">
          <w:rPr>
            <w:noProof/>
            <w:webHidden/>
          </w:rPr>
          <w:fldChar w:fldCharType="begin"/>
        </w:r>
        <w:r w:rsidR="00AC4D1A">
          <w:rPr>
            <w:noProof/>
            <w:webHidden/>
          </w:rPr>
          <w:instrText xml:space="preserve"> PAGEREF _Toc53137940 \h </w:instrText>
        </w:r>
        <w:r w:rsidR="00AC4D1A">
          <w:rPr>
            <w:noProof/>
            <w:webHidden/>
          </w:rPr>
        </w:r>
        <w:r w:rsidR="00AC4D1A">
          <w:rPr>
            <w:noProof/>
            <w:webHidden/>
          </w:rPr>
          <w:fldChar w:fldCharType="separate"/>
        </w:r>
        <w:r w:rsidR="0084301B">
          <w:rPr>
            <w:noProof/>
            <w:webHidden/>
          </w:rPr>
          <w:t>4</w:t>
        </w:r>
        <w:r w:rsidR="00AC4D1A">
          <w:rPr>
            <w:noProof/>
            <w:webHidden/>
          </w:rPr>
          <w:fldChar w:fldCharType="end"/>
        </w:r>
      </w:hyperlink>
    </w:p>
    <w:p w14:paraId="4CE7CFF0" w14:textId="7C1BF63B" w:rsidR="00AC4D1A" w:rsidRDefault="000923A6">
      <w:pPr>
        <w:pStyle w:val="TOC2"/>
        <w:tabs>
          <w:tab w:val="left" w:pos="880"/>
          <w:tab w:val="right" w:leader="dot" w:pos="9060"/>
        </w:tabs>
        <w:rPr>
          <w:rFonts w:eastAsiaTheme="minorEastAsia" w:cstheme="minorBidi"/>
          <w:smallCaps w:val="0"/>
          <w:noProof/>
          <w:sz w:val="22"/>
          <w:szCs w:val="22"/>
          <w:lang w:eastAsia="en-GB" w:bidi="ar-SA"/>
        </w:rPr>
      </w:pPr>
      <w:hyperlink w:anchor="_Toc53137941" w:history="1">
        <w:r w:rsidR="00AC4D1A" w:rsidRPr="00714EB3">
          <w:rPr>
            <w:rStyle w:val="Hyperlink"/>
            <w:noProof/>
          </w:rPr>
          <w:t>1.2</w:t>
        </w:r>
        <w:r w:rsidR="00AC4D1A">
          <w:rPr>
            <w:rFonts w:eastAsiaTheme="minorEastAsia" w:cstheme="minorBidi"/>
            <w:smallCaps w:val="0"/>
            <w:noProof/>
            <w:sz w:val="22"/>
            <w:szCs w:val="22"/>
            <w:lang w:eastAsia="en-GB" w:bidi="ar-SA"/>
          </w:rPr>
          <w:tab/>
        </w:r>
        <w:r w:rsidR="00AC4D1A" w:rsidRPr="00714EB3">
          <w:rPr>
            <w:rStyle w:val="Hyperlink"/>
            <w:noProof/>
          </w:rPr>
          <w:t>The Application</w:t>
        </w:r>
        <w:r w:rsidR="00AC4D1A">
          <w:rPr>
            <w:noProof/>
            <w:webHidden/>
          </w:rPr>
          <w:tab/>
        </w:r>
        <w:r w:rsidR="00AC4D1A">
          <w:rPr>
            <w:noProof/>
            <w:webHidden/>
          </w:rPr>
          <w:fldChar w:fldCharType="begin"/>
        </w:r>
        <w:r w:rsidR="00AC4D1A">
          <w:rPr>
            <w:noProof/>
            <w:webHidden/>
          </w:rPr>
          <w:instrText xml:space="preserve"> PAGEREF _Toc53137941 \h </w:instrText>
        </w:r>
        <w:r w:rsidR="00AC4D1A">
          <w:rPr>
            <w:noProof/>
            <w:webHidden/>
          </w:rPr>
        </w:r>
        <w:r w:rsidR="00AC4D1A">
          <w:rPr>
            <w:noProof/>
            <w:webHidden/>
          </w:rPr>
          <w:fldChar w:fldCharType="separate"/>
        </w:r>
        <w:r w:rsidR="0084301B">
          <w:rPr>
            <w:noProof/>
            <w:webHidden/>
          </w:rPr>
          <w:t>4</w:t>
        </w:r>
        <w:r w:rsidR="00AC4D1A">
          <w:rPr>
            <w:noProof/>
            <w:webHidden/>
          </w:rPr>
          <w:fldChar w:fldCharType="end"/>
        </w:r>
      </w:hyperlink>
    </w:p>
    <w:p w14:paraId="742105BF" w14:textId="512BB8FA" w:rsidR="00AC4D1A" w:rsidRDefault="000923A6">
      <w:pPr>
        <w:pStyle w:val="TOC2"/>
        <w:tabs>
          <w:tab w:val="left" w:pos="880"/>
          <w:tab w:val="right" w:leader="dot" w:pos="9060"/>
        </w:tabs>
        <w:rPr>
          <w:rFonts w:eastAsiaTheme="minorEastAsia" w:cstheme="minorBidi"/>
          <w:smallCaps w:val="0"/>
          <w:noProof/>
          <w:sz w:val="22"/>
          <w:szCs w:val="22"/>
          <w:lang w:eastAsia="en-GB" w:bidi="ar-SA"/>
        </w:rPr>
      </w:pPr>
      <w:hyperlink w:anchor="_Toc53137942" w:history="1">
        <w:r w:rsidR="00AC4D1A" w:rsidRPr="00714EB3">
          <w:rPr>
            <w:rStyle w:val="Hyperlink"/>
            <w:noProof/>
          </w:rPr>
          <w:t>1.3</w:t>
        </w:r>
        <w:r w:rsidR="00AC4D1A">
          <w:rPr>
            <w:rFonts w:eastAsiaTheme="minorEastAsia" w:cstheme="minorBidi"/>
            <w:smallCaps w:val="0"/>
            <w:noProof/>
            <w:sz w:val="22"/>
            <w:szCs w:val="22"/>
            <w:lang w:eastAsia="en-GB" w:bidi="ar-SA"/>
          </w:rPr>
          <w:tab/>
        </w:r>
        <w:r w:rsidR="00AC4D1A" w:rsidRPr="00714EB3">
          <w:rPr>
            <w:rStyle w:val="Hyperlink"/>
            <w:noProof/>
          </w:rPr>
          <w:t>The current Standards</w:t>
        </w:r>
        <w:r w:rsidR="00AC4D1A">
          <w:rPr>
            <w:noProof/>
            <w:webHidden/>
          </w:rPr>
          <w:tab/>
        </w:r>
        <w:r w:rsidR="00AC4D1A">
          <w:rPr>
            <w:noProof/>
            <w:webHidden/>
          </w:rPr>
          <w:fldChar w:fldCharType="begin"/>
        </w:r>
        <w:r w:rsidR="00AC4D1A">
          <w:rPr>
            <w:noProof/>
            <w:webHidden/>
          </w:rPr>
          <w:instrText xml:space="preserve"> PAGEREF _Toc53137942 \h </w:instrText>
        </w:r>
        <w:r w:rsidR="00AC4D1A">
          <w:rPr>
            <w:noProof/>
            <w:webHidden/>
          </w:rPr>
        </w:r>
        <w:r w:rsidR="00AC4D1A">
          <w:rPr>
            <w:noProof/>
            <w:webHidden/>
          </w:rPr>
          <w:fldChar w:fldCharType="separate"/>
        </w:r>
        <w:r w:rsidR="0084301B">
          <w:rPr>
            <w:noProof/>
            <w:webHidden/>
          </w:rPr>
          <w:t>4</w:t>
        </w:r>
        <w:r w:rsidR="00AC4D1A">
          <w:rPr>
            <w:noProof/>
            <w:webHidden/>
          </w:rPr>
          <w:fldChar w:fldCharType="end"/>
        </w:r>
      </w:hyperlink>
    </w:p>
    <w:p w14:paraId="31E66F3E" w14:textId="4097F4A0" w:rsidR="00AC4D1A" w:rsidRDefault="000923A6">
      <w:pPr>
        <w:pStyle w:val="TOC3"/>
        <w:tabs>
          <w:tab w:val="right" w:leader="dot" w:pos="9060"/>
        </w:tabs>
        <w:rPr>
          <w:rFonts w:eastAsiaTheme="minorEastAsia" w:cstheme="minorBidi"/>
          <w:i w:val="0"/>
          <w:iCs w:val="0"/>
          <w:noProof/>
          <w:sz w:val="22"/>
          <w:szCs w:val="22"/>
          <w:lang w:eastAsia="en-GB" w:bidi="ar-SA"/>
        </w:rPr>
      </w:pPr>
      <w:hyperlink w:anchor="_Toc53137943" w:history="1">
        <w:r w:rsidR="00AC4D1A" w:rsidRPr="00714EB3">
          <w:rPr>
            <w:rStyle w:val="Hyperlink"/>
            <w:noProof/>
          </w:rPr>
          <w:t>1.3.1 Permitted use</w:t>
        </w:r>
        <w:r w:rsidR="00AC4D1A">
          <w:rPr>
            <w:noProof/>
            <w:webHidden/>
          </w:rPr>
          <w:tab/>
        </w:r>
        <w:r w:rsidR="00AC4D1A">
          <w:rPr>
            <w:noProof/>
            <w:webHidden/>
          </w:rPr>
          <w:fldChar w:fldCharType="begin"/>
        </w:r>
        <w:r w:rsidR="00AC4D1A">
          <w:rPr>
            <w:noProof/>
            <w:webHidden/>
          </w:rPr>
          <w:instrText xml:space="preserve"> PAGEREF _Toc53137943 \h </w:instrText>
        </w:r>
        <w:r w:rsidR="00AC4D1A">
          <w:rPr>
            <w:noProof/>
            <w:webHidden/>
          </w:rPr>
        </w:r>
        <w:r w:rsidR="00AC4D1A">
          <w:rPr>
            <w:noProof/>
            <w:webHidden/>
          </w:rPr>
          <w:fldChar w:fldCharType="separate"/>
        </w:r>
        <w:r w:rsidR="0084301B">
          <w:rPr>
            <w:noProof/>
            <w:webHidden/>
          </w:rPr>
          <w:t>4</w:t>
        </w:r>
        <w:r w:rsidR="00AC4D1A">
          <w:rPr>
            <w:noProof/>
            <w:webHidden/>
          </w:rPr>
          <w:fldChar w:fldCharType="end"/>
        </w:r>
      </w:hyperlink>
    </w:p>
    <w:p w14:paraId="704664ED" w14:textId="5F884539" w:rsidR="00AC4D1A" w:rsidRDefault="000923A6">
      <w:pPr>
        <w:pStyle w:val="TOC3"/>
        <w:tabs>
          <w:tab w:val="right" w:leader="dot" w:pos="9060"/>
        </w:tabs>
        <w:rPr>
          <w:rFonts w:eastAsiaTheme="minorEastAsia" w:cstheme="minorBidi"/>
          <w:i w:val="0"/>
          <w:iCs w:val="0"/>
          <w:noProof/>
          <w:sz w:val="22"/>
          <w:szCs w:val="22"/>
          <w:lang w:eastAsia="en-GB" w:bidi="ar-SA"/>
        </w:rPr>
      </w:pPr>
      <w:hyperlink w:anchor="_Toc53137944" w:history="1">
        <w:r w:rsidR="00AC4D1A" w:rsidRPr="00714EB3">
          <w:rPr>
            <w:rStyle w:val="Hyperlink"/>
            <w:noProof/>
          </w:rPr>
          <w:t>1.3.2 Food additive permissions</w:t>
        </w:r>
        <w:r w:rsidR="00AC4D1A">
          <w:rPr>
            <w:noProof/>
            <w:webHidden/>
          </w:rPr>
          <w:tab/>
        </w:r>
        <w:r w:rsidR="00AC4D1A">
          <w:rPr>
            <w:noProof/>
            <w:webHidden/>
          </w:rPr>
          <w:fldChar w:fldCharType="begin"/>
        </w:r>
        <w:r w:rsidR="00AC4D1A">
          <w:rPr>
            <w:noProof/>
            <w:webHidden/>
          </w:rPr>
          <w:instrText xml:space="preserve"> PAGEREF _Toc53137944 \h </w:instrText>
        </w:r>
        <w:r w:rsidR="00AC4D1A">
          <w:rPr>
            <w:noProof/>
            <w:webHidden/>
          </w:rPr>
        </w:r>
        <w:r w:rsidR="00AC4D1A">
          <w:rPr>
            <w:noProof/>
            <w:webHidden/>
          </w:rPr>
          <w:fldChar w:fldCharType="separate"/>
        </w:r>
        <w:r w:rsidR="0084301B">
          <w:rPr>
            <w:noProof/>
            <w:webHidden/>
          </w:rPr>
          <w:t>4</w:t>
        </w:r>
        <w:r w:rsidR="00AC4D1A">
          <w:rPr>
            <w:noProof/>
            <w:webHidden/>
          </w:rPr>
          <w:fldChar w:fldCharType="end"/>
        </w:r>
      </w:hyperlink>
    </w:p>
    <w:p w14:paraId="579ADC45" w14:textId="384F1AC8" w:rsidR="00AC4D1A" w:rsidRDefault="000923A6">
      <w:pPr>
        <w:pStyle w:val="TOC3"/>
        <w:tabs>
          <w:tab w:val="right" w:leader="dot" w:pos="9060"/>
        </w:tabs>
        <w:rPr>
          <w:rFonts w:eastAsiaTheme="minorEastAsia" w:cstheme="minorBidi"/>
          <w:i w:val="0"/>
          <w:iCs w:val="0"/>
          <w:noProof/>
          <w:sz w:val="22"/>
          <w:szCs w:val="22"/>
          <w:lang w:eastAsia="en-GB" w:bidi="ar-SA"/>
        </w:rPr>
      </w:pPr>
      <w:hyperlink w:anchor="_Toc53137945" w:history="1">
        <w:r w:rsidR="00AC4D1A" w:rsidRPr="00714EB3">
          <w:rPr>
            <w:rStyle w:val="Hyperlink"/>
            <w:noProof/>
          </w:rPr>
          <w:t>1.3.3 Labelling</w:t>
        </w:r>
        <w:r w:rsidR="00AC4D1A">
          <w:rPr>
            <w:noProof/>
            <w:webHidden/>
          </w:rPr>
          <w:tab/>
        </w:r>
        <w:r w:rsidR="00AC4D1A">
          <w:rPr>
            <w:noProof/>
            <w:webHidden/>
          </w:rPr>
          <w:fldChar w:fldCharType="begin"/>
        </w:r>
        <w:r w:rsidR="00AC4D1A">
          <w:rPr>
            <w:noProof/>
            <w:webHidden/>
          </w:rPr>
          <w:instrText xml:space="preserve"> PAGEREF _Toc53137945 \h </w:instrText>
        </w:r>
        <w:r w:rsidR="00AC4D1A">
          <w:rPr>
            <w:noProof/>
            <w:webHidden/>
          </w:rPr>
        </w:r>
        <w:r w:rsidR="00AC4D1A">
          <w:rPr>
            <w:noProof/>
            <w:webHidden/>
          </w:rPr>
          <w:fldChar w:fldCharType="separate"/>
        </w:r>
        <w:r w:rsidR="0084301B">
          <w:rPr>
            <w:noProof/>
            <w:webHidden/>
          </w:rPr>
          <w:t>5</w:t>
        </w:r>
        <w:r w:rsidR="00AC4D1A">
          <w:rPr>
            <w:noProof/>
            <w:webHidden/>
          </w:rPr>
          <w:fldChar w:fldCharType="end"/>
        </w:r>
      </w:hyperlink>
    </w:p>
    <w:p w14:paraId="6B012CCA" w14:textId="53C654BC" w:rsidR="00AC4D1A" w:rsidRDefault="000923A6">
      <w:pPr>
        <w:pStyle w:val="TOC3"/>
        <w:tabs>
          <w:tab w:val="right" w:leader="dot" w:pos="9060"/>
        </w:tabs>
        <w:rPr>
          <w:rFonts w:eastAsiaTheme="minorEastAsia" w:cstheme="minorBidi"/>
          <w:i w:val="0"/>
          <w:iCs w:val="0"/>
          <w:noProof/>
          <w:sz w:val="22"/>
          <w:szCs w:val="22"/>
          <w:lang w:eastAsia="en-GB" w:bidi="ar-SA"/>
        </w:rPr>
      </w:pPr>
      <w:hyperlink w:anchor="_Toc53137946" w:history="1">
        <w:r w:rsidR="00AC4D1A" w:rsidRPr="00714EB3">
          <w:rPr>
            <w:rStyle w:val="Hyperlink"/>
            <w:noProof/>
          </w:rPr>
          <w:t>1.3.4 Identity and purity requirements</w:t>
        </w:r>
        <w:r w:rsidR="00AC4D1A">
          <w:rPr>
            <w:noProof/>
            <w:webHidden/>
          </w:rPr>
          <w:tab/>
        </w:r>
        <w:r w:rsidR="00AC4D1A">
          <w:rPr>
            <w:noProof/>
            <w:webHidden/>
          </w:rPr>
          <w:fldChar w:fldCharType="begin"/>
        </w:r>
        <w:r w:rsidR="00AC4D1A">
          <w:rPr>
            <w:noProof/>
            <w:webHidden/>
          </w:rPr>
          <w:instrText xml:space="preserve"> PAGEREF _Toc53137946 \h </w:instrText>
        </w:r>
        <w:r w:rsidR="00AC4D1A">
          <w:rPr>
            <w:noProof/>
            <w:webHidden/>
          </w:rPr>
        </w:r>
        <w:r w:rsidR="00AC4D1A">
          <w:rPr>
            <w:noProof/>
            <w:webHidden/>
          </w:rPr>
          <w:fldChar w:fldCharType="separate"/>
        </w:r>
        <w:r w:rsidR="0084301B">
          <w:rPr>
            <w:noProof/>
            <w:webHidden/>
          </w:rPr>
          <w:t>5</w:t>
        </w:r>
        <w:r w:rsidR="00AC4D1A">
          <w:rPr>
            <w:noProof/>
            <w:webHidden/>
          </w:rPr>
          <w:fldChar w:fldCharType="end"/>
        </w:r>
      </w:hyperlink>
    </w:p>
    <w:p w14:paraId="2720268A" w14:textId="70737D0C" w:rsidR="00AC4D1A" w:rsidRDefault="000923A6">
      <w:pPr>
        <w:pStyle w:val="TOC3"/>
        <w:tabs>
          <w:tab w:val="right" w:leader="dot" w:pos="9060"/>
        </w:tabs>
        <w:rPr>
          <w:rFonts w:eastAsiaTheme="minorEastAsia" w:cstheme="minorBidi"/>
          <w:i w:val="0"/>
          <w:iCs w:val="0"/>
          <w:noProof/>
          <w:sz w:val="22"/>
          <w:szCs w:val="22"/>
          <w:lang w:eastAsia="en-GB" w:bidi="ar-SA"/>
        </w:rPr>
      </w:pPr>
      <w:hyperlink w:anchor="_Toc53137947" w:history="1">
        <w:r w:rsidR="00AC4D1A" w:rsidRPr="00714EB3">
          <w:rPr>
            <w:rStyle w:val="Hyperlink"/>
            <w:noProof/>
          </w:rPr>
          <w:t>1.3.5 International standards</w:t>
        </w:r>
        <w:r w:rsidR="00AC4D1A">
          <w:rPr>
            <w:noProof/>
            <w:webHidden/>
          </w:rPr>
          <w:tab/>
        </w:r>
        <w:r w:rsidR="00AC4D1A">
          <w:rPr>
            <w:noProof/>
            <w:webHidden/>
          </w:rPr>
          <w:fldChar w:fldCharType="begin"/>
        </w:r>
        <w:r w:rsidR="00AC4D1A">
          <w:rPr>
            <w:noProof/>
            <w:webHidden/>
          </w:rPr>
          <w:instrText xml:space="preserve"> PAGEREF _Toc53137947 \h </w:instrText>
        </w:r>
        <w:r w:rsidR="00AC4D1A">
          <w:rPr>
            <w:noProof/>
            <w:webHidden/>
          </w:rPr>
        </w:r>
        <w:r w:rsidR="00AC4D1A">
          <w:rPr>
            <w:noProof/>
            <w:webHidden/>
          </w:rPr>
          <w:fldChar w:fldCharType="separate"/>
        </w:r>
        <w:r w:rsidR="0084301B">
          <w:rPr>
            <w:noProof/>
            <w:webHidden/>
          </w:rPr>
          <w:t>5</w:t>
        </w:r>
        <w:r w:rsidR="00AC4D1A">
          <w:rPr>
            <w:noProof/>
            <w:webHidden/>
          </w:rPr>
          <w:fldChar w:fldCharType="end"/>
        </w:r>
      </w:hyperlink>
    </w:p>
    <w:p w14:paraId="17733801" w14:textId="6E87D7AF" w:rsidR="00AC4D1A" w:rsidRDefault="000923A6">
      <w:pPr>
        <w:pStyle w:val="TOC2"/>
        <w:tabs>
          <w:tab w:val="left" w:pos="880"/>
          <w:tab w:val="right" w:leader="dot" w:pos="9060"/>
        </w:tabs>
        <w:rPr>
          <w:rFonts w:eastAsiaTheme="minorEastAsia" w:cstheme="minorBidi"/>
          <w:smallCaps w:val="0"/>
          <w:noProof/>
          <w:sz w:val="22"/>
          <w:szCs w:val="22"/>
          <w:lang w:eastAsia="en-GB" w:bidi="ar-SA"/>
        </w:rPr>
      </w:pPr>
      <w:hyperlink w:anchor="_Toc53137948" w:history="1">
        <w:r w:rsidR="00AC4D1A" w:rsidRPr="00714EB3">
          <w:rPr>
            <w:rStyle w:val="Hyperlink"/>
            <w:noProof/>
            <w:u w:color="FFFF00"/>
          </w:rPr>
          <w:t>1.4</w:t>
        </w:r>
        <w:r w:rsidR="00AC4D1A">
          <w:rPr>
            <w:rFonts w:eastAsiaTheme="minorEastAsia" w:cstheme="minorBidi"/>
            <w:smallCaps w:val="0"/>
            <w:noProof/>
            <w:sz w:val="22"/>
            <w:szCs w:val="22"/>
            <w:lang w:eastAsia="en-GB" w:bidi="ar-SA"/>
          </w:rPr>
          <w:tab/>
        </w:r>
        <w:r w:rsidR="00AC4D1A" w:rsidRPr="00714EB3">
          <w:rPr>
            <w:rStyle w:val="Hyperlink"/>
            <w:noProof/>
            <w:u w:color="FFFF00"/>
          </w:rPr>
          <w:t>Reasons for accepting application</w:t>
        </w:r>
        <w:r w:rsidR="00AC4D1A">
          <w:rPr>
            <w:noProof/>
            <w:webHidden/>
          </w:rPr>
          <w:tab/>
        </w:r>
        <w:r w:rsidR="00AC4D1A">
          <w:rPr>
            <w:noProof/>
            <w:webHidden/>
          </w:rPr>
          <w:fldChar w:fldCharType="begin"/>
        </w:r>
        <w:r w:rsidR="00AC4D1A">
          <w:rPr>
            <w:noProof/>
            <w:webHidden/>
          </w:rPr>
          <w:instrText xml:space="preserve"> PAGEREF _Toc53137948 \h </w:instrText>
        </w:r>
        <w:r w:rsidR="00AC4D1A">
          <w:rPr>
            <w:noProof/>
            <w:webHidden/>
          </w:rPr>
        </w:r>
        <w:r w:rsidR="00AC4D1A">
          <w:rPr>
            <w:noProof/>
            <w:webHidden/>
          </w:rPr>
          <w:fldChar w:fldCharType="separate"/>
        </w:r>
        <w:r w:rsidR="0084301B">
          <w:rPr>
            <w:noProof/>
            <w:webHidden/>
          </w:rPr>
          <w:t>6</w:t>
        </w:r>
        <w:r w:rsidR="00AC4D1A">
          <w:rPr>
            <w:noProof/>
            <w:webHidden/>
          </w:rPr>
          <w:fldChar w:fldCharType="end"/>
        </w:r>
      </w:hyperlink>
    </w:p>
    <w:p w14:paraId="3A3836DC" w14:textId="43BC6537" w:rsidR="00AC4D1A" w:rsidRDefault="000923A6">
      <w:pPr>
        <w:pStyle w:val="TOC2"/>
        <w:tabs>
          <w:tab w:val="left" w:pos="880"/>
          <w:tab w:val="right" w:leader="dot" w:pos="9060"/>
        </w:tabs>
        <w:rPr>
          <w:rFonts w:eastAsiaTheme="minorEastAsia" w:cstheme="minorBidi"/>
          <w:smallCaps w:val="0"/>
          <w:noProof/>
          <w:sz w:val="22"/>
          <w:szCs w:val="22"/>
          <w:lang w:eastAsia="en-GB" w:bidi="ar-SA"/>
        </w:rPr>
      </w:pPr>
      <w:hyperlink w:anchor="_Toc53137949" w:history="1">
        <w:r w:rsidR="00AC4D1A" w:rsidRPr="00714EB3">
          <w:rPr>
            <w:rStyle w:val="Hyperlink"/>
            <w:noProof/>
          </w:rPr>
          <w:t>1.5</w:t>
        </w:r>
        <w:r w:rsidR="00AC4D1A">
          <w:rPr>
            <w:rFonts w:eastAsiaTheme="minorEastAsia" w:cstheme="minorBidi"/>
            <w:smallCaps w:val="0"/>
            <w:noProof/>
            <w:sz w:val="22"/>
            <w:szCs w:val="22"/>
            <w:lang w:eastAsia="en-GB" w:bidi="ar-SA"/>
          </w:rPr>
          <w:tab/>
        </w:r>
        <w:r w:rsidR="00AC4D1A" w:rsidRPr="00714EB3">
          <w:rPr>
            <w:rStyle w:val="Hyperlink"/>
            <w:noProof/>
          </w:rPr>
          <w:t>Procedure for assessment</w:t>
        </w:r>
        <w:r w:rsidR="00AC4D1A">
          <w:rPr>
            <w:noProof/>
            <w:webHidden/>
          </w:rPr>
          <w:tab/>
        </w:r>
        <w:r w:rsidR="00AC4D1A">
          <w:rPr>
            <w:noProof/>
            <w:webHidden/>
          </w:rPr>
          <w:fldChar w:fldCharType="begin"/>
        </w:r>
        <w:r w:rsidR="00AC4D1A">
          <w:rPr>
            <w:noProof/>
            <w:webHidden/>
          </w:rPr>
          <w:instrText xml:space="preserve"> PAGEREF _Toc53137949 \h </w:instrText>
        </w:r>
        <w:r w:rsidR="00AC4D1A">
          <w:rPr>
            <w:noProof/>
            <w:webHidden/>
          </w:rPr>
        </w:r>
        <w:r w:rsidR="00AC4D1A">
          <w:rPr>
            <w:noProof/>
            <w:webHidden/>
          </w:rPr>
          <w:fldChar w:fldCharType="separate"/>
        </w:r>
        <w:r w:rsidR="0084301B">
          <w:rPr>
            <w:noProof/>
            <w:webHidden/>
          </w:rPr>
          <w:t>6</w:t>
        </w:r>
        <w:r w:rsidR="00AC4D1A">
          <w:rPr>
            <w:noProof/>
            <w:webHidden/>
          </w:rPr>
          <w:fldChar w:fldCharType="end"/>
        </w:r>
      </w:hyperlink>
    </w:p>
    <w:p w14:paraId="199D6E1D" w14:textId="30FE9185" w:rsidR="00AC4D1A" w:rsidRDefault="000923A6">
      <w:pPr>
        <w:pStyle w:val="TOC2"/>
        <w:tabs>
          <w:tab w:val="left" w:pos="880"/>
          <w:tab w:val="right" w:leader="dot" w:pos="9060"/>
        </w:tabs>
        <w:rPr>
          <w:rFonts w:eastAsiaTheme="minorEastAsia" w:cstheme="minorBidi"/>
          <w:smallCaps w:val="0"/>
          <w:noProof/>
          <w:sz w:val="22"/>
          <w:szCs w:val="22"/>
          <w:lang w:eastAsia="en-GB" w:bidi="ar-SA"/>
        </w:rPr>
      </w:pPr>
      <w:hyperlink w:anchor="_Toc53137950" w:history="1">
        <w:r w:rsidR="00AC4D1A" w:rsidRPr="00714EB3">
          <w:rPr>
            <w:rStyle w:val="Hyperlink"/>
            <w:noProof/>
          </w:rPr>
          <w:t>1.6</w:t>
        </w:r>
        <w:r w:rsidR="00AC4D1A">
          <w:rPr>
            <w:rFonts w:eastAsiaTheme="minorEastAsia" w:cstheme="minorBidi"/>
            <w:smallCaps w:val="0"/>
            <w:noProof/>
            <w:sz w:val="22"/>
            <w:szCs w:val="22"/>
            <w:lang w:eastAsia="en-GB" w:bidi="ar-SA"/>
          </w:rPr>
          <w:tab/>
        </w:r>
        <w:r w:rsidR="00AC4D1A" w:rsidRPr="00714EB3">
          <w:rPr>
            <w:rStyle w:val="Hyperlink"/>
            <w:noProof/>
          </w:rPr>
          <w:t>Decision</w:t>
        </w:r>
        <w:r w:rsidR="00AC4D1A">
          <w:rPr>
            <w:noProof/>
            <w:webHidden/>
          </w:rPr>
          <w:tab/>
        </w:r>
        <w:r w:rsidR="00AC4D1A">
          <w:rPr>
            <w:noProof/>
            <w:webHidden/>
          </w:rPr>
          <w:fldChar w:fldCharType="begin"/>
        </w:r>
        <w:r w:rsidR="00AC4D1A">
          <w:rPr>
            <w:noProof/>
            <w:webHidden/>
          </w:rPr>
          <w:instrText xml:space="preserve"> PAGEREF _Toc53137950 \h </w:instrText>
        </w:r>
        <w:r w:rsidR="00AC4D1A">
          <w:rPr>
            <w:noProof/>
            <w:webHidden/>
          </w:rPr>
        </w:r>
        <w:r w:rsidR="00AC4D1A">
          <w:rPr>
            <w:noProof/>
            <w:webHidden/>
          </w:rPr>
          <w:fldChar w:fldCharType="separate"/>
        </w:r>
        <w:r w:rsidR="0084301B">
          <w:rPr>
            <w:noProof/>
            <w:webHidden/>
          </w:rPr>
          <w:t>6</w:t>
        </w:r>
        <w:r w:rsidR="00AC4D1A">
          <w:rPr>
            <w:noProof/>
            <w:webHidden/>
          </w:rPr>
          <w:fldChar w:fldCharType="end"/>
        </w:r>
      </w:hyperlink>
    </w:p>
    <w:p w14:paraId="4796205B" w14:textId="66FDC63A" w:rsidR="00AC4D1A" w:rsidRDefault="000923A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137951" w:history="1">
        <w:r w:rsidR="00AC4D1A" w:rsidRPr="00714EB3">
          <w:rPr>
            <w:rStyle w:val="Hyperlink"/>
            <w:noProof/>
          </w:rPr>
          <w:t>2</w:t>
        </w:r>
        <w:r w:rsidR="00AC4D1A">
          <w:rPr>
            <w:rFonts w:eastAsiaTheme="minorEastAsia" w:cstheme="minorBidi"/>
            <w:b w:val="0"/>
            <w:bCs w:val="0"/>
            <w:caps w:val="0"/>
            <w:noProof/>
            <w:sz w:val="22"/>
            <w:szCs w:val="22"/>
            <w:lang w:eastAsia="en-GB" w:bidi="ar-SA"/>
          </w:rPr>
          <w:tab/>
        </w:r>
        <w:r w:rsidR="00AC4D1A" w:rsidRPr="00714EB3">
          <w:rPr>
            <w:rStyle w:val="Hyperlink"/>
            <w:noProof/>
          </w:rPr>
          <w:t xml:space="preserve">Summary </w:t>
        </w:r>
        <w:r w:rsidR="00AC4D1A" w:rsidRPr="00714EB3">
          <w:rPr>
            <w:rStyle w:val="Hyperlink"/>
            <w:noProof/>
            <w:u w:color="FFFF00"/>
          </w:rPr>
          <w:t>of</w:t>
        </w:r>
        <w:r w:rsidR="00AC4D1A" w:rsidRPr="00714EB3">
          <w:rPr>
            <w:rStyle w:val="Hyperlink"/>
            <w:noProof/>
          </w:rPr>
          <w:t xml:space="preserve"> the findings</w:t>
        </w:r>
        <w:r w:rsidR="00AC4D1A">
          <w:rPr>
            <w:noProof/>
            <w:webHidden/>
          </w:rPr>
          <w:tab/>
        </w:r>
        <w:r w:rsidR="00AC4D1A">
          <w:rPr>
            <w:noProof/>
            <w:webHidden/>
          </w:rPr>
          <w:fldChar w:fldCharType="begin"/>
        </w:r>
        <w:r w:rsidR="00AC4D1A">
          <w:rPr>
            <w:noProof/>
            <w:webHidden/>
          </w:rPr>
          <w:instrText xml:space="preserve"> PAGEREF _Toc53137951 \h </w:instrText>
        </w:r>
        <w:r w:rsidR="00AC4D1A">
          <w:rPr>
            <w:noProof/>
            <w:webHidden/>
          </w:rPr>
        </w:r>
        <w:r w:rsidR="00AC4D1A">
          <w:rPr>
            <w:noProof/>
            <w:webHidden/>
          </w:rPr>
          <w:fldChar w:fldCharType="separate"/>
        </w:r>
        <w:r w:rsidR="0084301B">
          <w:rPr>
            <w:noProof/>
            <w:webHidden/>
          </w:rPr>
          <w:t>6</w:t>
        </w:r>
        <w:r w:rsidR="00AC4D1A">
          <w:rPr>
            <w:noProof/>
            <w:webHidden/>
          </w:rPr>
          <w:fldChar w:fldCharType="end"/>
        </w:r>
      </w:hyperlink>
    </w:p>
    <w:p w14:paraId="65642A62" w14:textId="171B5240" w:rsidR="00AC4D1A" w:rsidRDefault="000923A6">
      <w:pPr>
        <w:pStyle w:val="TOC2"/>
        <w:tabs>
          <w:tab w:val="left" w:pos="880"/>
          <w:tab w:val="right" w:leader="dot" w:pos="9060"/>
        </w:tabs>
        <w:rPr>
          <w:rFonts w:eastAsiaTheme="minorEastAsia" w:cstheme="minorBidi"/>
          <w:smallCaps w:val="0"/>
          <w:noProof/>
          <w:sz w:val="22"/>
          <w:szCs w:val="22"/>
          <w:lang w:eastAsia="en-GB" w:bidi="ar-SA"/>
        </w:rPr>
      </w:pPr>
      <w:hyperlink w:anchor="_Toc53137952" w:history="1">
        <w:r w:rsidR="00AC4D1A" w:rsidRPr="00714EB3">
          <w:rPr>
            <w:rStyle w:val="Hyperlink"/>
            <w:noProof/>
          </w:rPr>
          <w:t>2.1</w:t>
        </w:r>
        <w:r w:rsidR="00AC4D1A">
          <w:rPr>
            <w:rFonts w:eastAsiaTheme="minorEastAsia" w:cstheme="minorBidi"/>
            <w:smallCaps w:val="0"/>
            <w:noProof/>
            <w:sz w:val="22"/>
            <w:szCs w:val="22"/>
            <w:lang w:eastAsia="en-GB" w:bidi="ar-SA"/>
          </w:rPr>
          <w:tab/>
        </w:r>
        <w:r w:rsidR="00AC4D1A" w:rsidRPr="00714EB3">
          <w:rPr>
            <w:rStyle w:val="Hyperlink"/>
            <w:noProof/>
          </w:rPr>
          <w:t>Summary of issues raised in submissions</w:t>
        </w:r>
        <w:r w:rsidR="00AC4D1A">
          <w:rPr>
            <w:noProof/>
            <w:webHidden/>
          </w:rPr>
          <w:tab/>
        </w:r>
        <w:r w:rsidR="00AC4D1A">
          <w:rPr>
            <w:noProof/>
            <w:webHidden/>
          </w:rPr>
          <w:fldChar w:fldCharType="begin"/>
        </w:r>
        <w:r w:rsidR="00AC4D1A">
          <w:rPr>
            <w:noProof/>
            <w:webHidden/>
          </w:rPr>
          <w:instrText xml:space="preserve"> PAGEREF _Toc53137952 \h </w:instrText>
        </w:r>
        <w:r w:rsidR="00AC4D1A">
          <w:rPr>
            <w:noProof/>
            <w:webHidden/>
          </w:rPr>
        </w:r>
        <w:r w:rsidR="00AC4D1A">
          <w:rPr>
            <w:noProof/>
            <w:webHidden/>
          </w:rPr>
          <w:fldChar w:fldCharType="separate"/>
        </w:r>
        <w:r w:rsidR="0084301B">
          <w:rPr>
            <w:noProof/>
            <w:webHidden/>
          </w:rPr>
          <w:t>6</w:t>
        </w:r>
        <w:r w:rsidR="00AC4D1A">
          <w:rPr>
            <w:noProof/>
            <w:webHidden/>
          </w:rPr>
          <w:fldChar w:fldCharType="end"/>
        </w:r>
      </w:hyperlink>
    </w:p>
    <w:p w14:paraId="4EBADDF3" w14:textId="40C7A365" w:rsidR="00AC4D1A" w:rsidRDefault="000923A6">
      <w:pPr>
        <w:pStyle w:val="TOC2"/>
        <w:tabs>
          <w:tab w:val="left" w:pos="880"/>
          <w:tab w:val="right" w:leader="dot" w:pos="9060"/>
        </w:tabs>
        <w:rPr>
          <w:rFonts w:eastAsiaTheme="minorEastAsia" w:cstheme="minorBidi"/>
          <w:smallCaps w:val="0"/>
          <w:noProof/>
          <w:sz w:val="22"/>
          <w:szCs w:val="22"/>
          <w:lang w:eastAsia="en-GB" w:bidi="ar-SA"/>
        </w:rPr>
      </w:pPr>
      <w:hyperlink w:anchor="_Toc53137953" w:history="1">
        <w:r w:rsidR="00AC4D1A" w:rsidRPr="00714EB3">
          <w:rPr>
            <w:rStyle w:val="Hyperlink"/>
            <w:noProof/>
          </w:rPr>
          <w:t>2.2</w:t>
        </w:r>
        <w:r w:rsidR="00AC4D1A">
          <w:rPr>
            <w:rFonts w:eastAsiaTheme="minorEastAsia" w:cstheme="minorBidi"/>
            <w:smallCaps w:val="0"/>
            <w:noProof/>
            <w:sz w:val="22"/>
            <w:szCs w:val="22"/>
            <w:lang w:eastAsia="en-GB" w:bidi="ar-SA"/>
          </w:rPr>
          <w:tab/>
        </w:r>
        <w:r w:rsidR="00AC4D1A" w:rsidRPr="00714EB3">
          <w:rPr>
            <w:rStyle w:val="Hyperlink"/>
            <w:noProof/>
          </w:rPr>
          <w:t>Risk assessment</w:t>
        </w:r>
        <w:r w:rsidR="00AC4D1A">
          <w:rPr>
            <w:noProof/>
            <w:webHidden/>
          </w:rPr>
          <w:tab/>
        </w:r>
        <w:r w:rsidR="00AC4D1A">
          <w:rPr>
            <w:noProof/>
            <w:webHidden/>
          </w:rPr>
          <w:fldChar w:fldCharType="begin"/>
        </w:r>
        <w:r w:rsidR="00AC4D1A">
          <w:rPr>
            <w:noProof/>
            <w:webHidden/>
          </w:rPr>
          <w:instrText xml:space="preserve"> PAGEREF _Toc53137953 \h </w:instrText>
        </w:r>
        <w:r w:rsidR="00AC4D1A">
          <w:rPr>
            <w:noProof/>
            <w:webHidden/>
          </w:rPr>
        </w:r>
        <w:r w:rsidR="00AC4D1A">
          <w:rPr>
            <w:noProof/>
            <w:webHidden/>
          </w:rPr>
          <w:fldChar w:fldCharType="separate"/>
        </w:r>
        <w:r w:rsidR="0084301B">
          <w:rPr>
            <w:noProof/>
            <w:webHidden/>
          </w:rPr>
          <w:t>6</w:t>
        </w:r>
        <w:r w:rsidR="00AC4D1A">
          <w:rPr>
            <w:noProof/>
            <w:webHidden/>
          </w:rPr>
          <w:fldChar w:fldCharType="end"/>
        </w:r>
      </w:hyperlink>
    </w:p>
    <w:p w14:paraId="71E17FC7" w14:textId="79BB2F36" w:rsidR="00AC4D1A" w:rsidRDefault="000923A6">
      <w:pPr>
        <w:pStyle w:val="TOC3"/>
        <w:tabs>
          <w:tab w:val="right" w:leader="dot" w:pos="9060"/>
        </w:tabs>
        <w:rPr>
          <w:rFonts w:eastAsiaTheme="minorEastAsia" w:cstheme="minorBidi"/>
          <w:i w:val="0"/>
          <w:iCs w:val="0"/>
          <w:noProof/>
          <w:sz w:val="22"/>
          <w:szCs w:val="22"/>
          <w:lang w:eastAsia="en-GB" w:bidi="ar-SA"/>
        </w:rPr>
      </w:pPr>
      <w:hyperlink w:anchor="_Toc53137954" w:history="1">
        <w:r w:rsidR="00AC4D1A" w:rsidRPr="00714EB3">
          <w:rPr>
            <w:rStyle w:val="Hyperlink"/>
            <w:noProof/>
          </w:rPr>
          <w:t>2.2.1 Food technology assessment</w:t>
        </w:r>
        <w:r w:rsidR="00AC4D1A">
          <w:rPr>
            <w:noProof/>
            <w:webHidden/>
          </w:rPr>
          <w:tab/>
        </w:r>
        <w:r w:rsidR="00AC4D1A">
          <w:rPr>
            <w:noProof/>
            <w:webHidden/>
          </w:rPr>
          <w:fldChar w:fldCharType="begin"/>
        </w:r>
        <w:r w:rsidR="00AC4D1A">
          <w:rPr>
            <w:noProof/>
            <w:webHidden/>
          </w:rPr>
          <w:instrText xml:space="preserve"> PAGEREF _Toc53137954 \h </w:instrText>
        </w:r>
        <w:r w:rsidR="00AC4D1A">
          <w:rPr>
            <w:noProof/>
            <w:webHidden/>
          </w:rPr>
        </w:r>
        <w:r w:rsidR="00AC4D1A">
          <w:rPr>
            <w:noProof/>
            <w:webHidden/>
          </w:rPr>
          <w:fldChar w:fldCharType="separate"/>
        </w:r>
        <w:r w:rsidR="0084301B">
          <w:rPr>
            <w:noProof/>
            <w:webHidden/>
          </w:rPr>
          <w:t>7</w:t>
        </w:r>
        <w:r w:rsidR="00AC4D1A">
          <w:rPr>
            <w:noProof/>
            <w:webHidden/>
          </w:rPr>
          <w:fldChar w:fldCharType="end"/>
        </w:r>
      </w:hyperlink>
    </w:p>
    <w:p w14:paraId="72EFE096" w14:textId="69B6CE5D" w:rsidR="00AC4D1A" w:rsidRDefault="000923A6">
      <w:pPr>
        <w:pStyle w:val="TOC3"/>
        <w:tabs>
          <w:tab w:val="right" w:leader="dot" w:pos="9060"/>
        </w:tabs>
        <w:rPr>
          <w:rFonts w:eastAsiaTheme="minorEastAsia" w:cstheme="minorBidi"/>
          <w:i w:val="0"/>
          <w:iCs w:val="0"/>
          <w:noProof/>
          <w:sz w:val="22"/>
          <w:szCs w:val="22"/>
          <w:lang w:eastAsia="en-GB" w:bidi="ar-SA"/>
        </w:rPr>
      </w:pPr>
      <w:hyperlink w:anchor="_Toc53137955" w:history="1">
        <w:r w:rsidR="00AC4D1A" w:rsidRPr="00714EB3">
          <w:rPr>
            <w:rStyle w:val="Hyperlink"/>
            <w:noProof/>
          </w:rPr>
          <w:t>2.2.2 Microbiological assessment</w:t>
        </w:r>
        <w:r w:rsidR="00AC4D1A">
          <w:rPr>
            <w:noProof/>
            <w:webHidden/>
          </w:rPr>
          <w:tab/>
        </w:r>
        <w:r w:rsidR="00AC4D1A">
          <w:rPr>
            <w:noProof/>
            <w:webHidden/>
          </w:rPr>
          <w:fldChar w:fldCharType="begin"/>
        </w:r>
        <w:r w:rsidR="00AC4D1A">
          <w:rPr>
            <w:noProof/>
            <w:webHidden/>
          </w:rPr>
          <w:instrText xml:space="preserve"> PAGEREF _Toc53137955 \h </w:instrText>
        </w:r>
        <w:r w:rsidR="00AC4D1A">
          <w:rPr>
            <w:noProof/>
            <w:webHidden/>
          </w:rPr>
        </w:r>
        <w:r w:rsidR="00AC4D1A">
          <w:rPr>
            <w:noProof/>
            <w:webHidden/>
          </w:rPr>
          <w:fldChar w:fldCharType="separate"/>
        </w:r>
        <w:r w:rsidR="0084301B">
          <w:rPr>
            <w:noProof/>
            <w:webHidden/>
          </w:rPr>
          <w:t>7</w:t>
        </w:r>
        <w:r w:rsidR="00AC4D1A">
          <w:rPr>
            <w:noProof/>
            <w:webHidden/>
          </w:rPr>
          <w:fldChar w:fldCharType="end"/>
        </w:r>
      </w:hyperlink>
    </w:p>
    <w:p w14:paraId="7787DEE3" w14:textId="16EBE7F2" w:rsidR="00AC4D1A" w:rsidRDefault="000923A6">
      <w:pPr>
        <w:pStyle w:val="TOC3"/>
        <w:tabs>
          <w:tab w:val="right" w:leader="dot" w:pos="9060"/>
        </w:tabs>
        <w:rPr>
          <w:rFonts w:eastAsiaTheme="minorEastAsia" w:cstheme="minorBidi"/>
          <w:i w:val="0"/>
          <w:iCs w:val="0"/>
          <w:noProof/>
          <w:sz w:val="22"/>
          <w:szCs w:val="22"/>
          <w:lang w:eastAsia="en-GB" w:bidi="ar-SA"/>
        </w:rPr>
      </w:pPr>
      <w:hyperlink w:anchor="_Toc53137956" w:history="1">
        <w:r w:rsidR="00AC4D1A" w:rsidRPr="00714EB3">
          <w:rPr>
            <w:rStyle w:val="Hyperlink"/>
            <w:noProof/>
          </w:rPr>
          <w:t>2.2.3 Safety assessment</w:t>
        </w:r>
        <w:r w:rsidR="00AC4D1A">
          <w:rPr>
            <w:noProof/>
            <w:webHidden/>
          </w:rPr>
          <w:tab/>
        </w:r>
        <w:r w:rsidR="00AC4D1A">
          <w:rPr>
            <w:noProof/>
            <w:webHidden/>
          </w:rPr>
          <w:fldChar w:fldCharType="begin"/>
        </w:r>
        <w:r w:rsidR="00AC4D1A">
          <w:rPr>
            <w:noProof/>
            <w:webHidden/>
          </w:rPr>
          <w:instrText xml:space="preserve"> PAGEREF _Toc53137956 \h </w:instrText>
        </w:r>
        <w:r w:rsidR="00AC4D1A">
          <w:rPr>
            <w:noProof/>
            <w:webHidden/>
          </w:rPr>
        </w:r>
        <w:r w:rsidR="00AC4D1A">
          <w:rPr>
            <w:noProof/>
            <w:webHidden/>
          </w:rPr>
          <w:fldChar w:fldCharType="separate"/>
        </w:r>
        <w:r w:rsidR="0084301B">
          <w:rPr>
            <w:noProof/>
            <w:webHidden/>
          </w:rPr>
          <w:t>7</w:t>
        </w:r>
        <w:r w:rsidR="00AC4D1A">
          <w:rPr>
            <w:noProof/>
            <w:webHidden/>
          </w:rPr>
          <w:fldChar w:fldCharType="end"/>
        </w:r>
      </w:hyperlink>
    </w:p>
    <w:p w14:paraId="327EA92B" w14:textId="4404F479" w:rsidR="00AC4D1A" w:rsidRDefault="000923A6">
      <w:pPr>
        <w:pStyle w:val="TOC3"/>
        <w:tabs>
          <w:tab w:val="right" w:leader="dot" w:pos="9060"/>
        </w:tabs>
        <w:rPr>
          <w:rFonts w:eastAsiaTheme="minorEastAsia" w:cstheme="minorBidi"/>
          <w:i w:val="0"/>
          <w:iCs w:val="0"/>
          <w:noProof/>
          <w:sz w:val="22"/>
          <w:szCs w:val="22"/>
          <w:lang w:eastAsia="en-GB" w:bidi="ar-SA"/>
        </w:rPr>
      </w:pPr>
      <w:hyperlink w:anchor="_Toc53137957" w:history="1">
        <w:r w:rsidR="00AC4D1A" w:rsidRPr="00714EB3">
          <w:rPr>
            <w:rStyle w:val="Hyperlink"/>
            <w:noProof/>
          </w:rPr>
          <w:t>2.2.4 Dietary exposure assessment</w:t>
        </w:r>
        <w:r w:rsidR="00AC4D1A">
          <w:rPr>
            <w:noProof/>
            <w:webHidden/>
          </w:rPr>
          <w:tab/>
        </w:r>
        <w:r w:rsidR="00AC4D1A">
          <w:rPr>
            <w:noProof/>
            <w:webHidden/>
          </w:rPr>
          <w:fldChar w:fldCharType="begin"/>
        </w:r>
        <w:r w:rsidR="00AC4D1A">
          <w:rPr>
            <w:noProof/>
            <w:webHidden/>
          </w:rPr>
          <w:instrText xml:space="preserve"> PAGEREF _Toc53137957 \h </w:instrText>
        </w:r>
        <w:r w:rsidR="00AC4D1A">
          <w:rPr>
            <w:noProof/>
            <w:webHidden/>
          </w:rPr>
        </w:r>
        <w:r w:rsidR="00AC4D1A">
          <w:rPr>
            <w:noProof/>
            <w:webHidden/>
          </w:rPr>
          <w:fldChar w:fldCharType="separate"/>
        </w:r>
        <w:r w:rsidR="0084301B">
          <w:rPr>
            <w:noProof/>
            <w:webHidden/>
          </w:rPr>
          <w:t>8</w:t>
        </w:r>
        <w:r w:rsidR="00AC4D1A">
          <w:rPr>
            <w:noProof/>
            <w:webHidden/>
          </w:rPr>
          <w:fldChar w:fldCharType="end"/>
        </w:r>
      </w:hyperlink>
    </w:p>
    <w:p w14:paraId="402CB674" w14:textId="2962F60B" w:rsidR="00AC4D1A" w:rsidRDefault="000923A6">
      <w:pPr>
        <w:pStyle w:val="TOC2"/>
        <w:tabs>
          <w:tab w:val="left" w:pos="880"/>
          <w:tab w:val="right" w:leader="dot" w:pos="9060"/>
        </w:tabs>
        <w:rPr>
          <w:rFonts w:eastAsiaTheme="minorEastAsia" w:cstheme="minorBidi"/>
          <w:smallCaps w:val="0"/>
          <w:noProof/>
          <w:sz w:val="22"/>
          <w:szCs w:val="22"/>
          <w:lang w:eastAsia="en-GB" w:bidi="ar-SA"/>
        </w:rPr>
      </w:pPr>
      <w:hyperlink w:anchor="_Toc53137958" w:history="1">
        <w:r w:rsidR="00AC4D1A" w:rsidRPr="00714EB3">
          <w:rPr>
            <w:rStyle w:val="Hyperlink"/>
            <w:noProof/>
          </w:rPr>
          <w:t>2.3</w:t>
        </w:r>
        <w:r w:rsidR="00AC4D1A">
          <w:rPr>
            <w:rFonts w:eastAsiaTheme="minorEastAsia" w:cstheme="minorBidi"/>
            <w:smallCaps w:val="0"/>
            <w:noProof/>
            <w:sz w:val="22"/>
            <w:szCs w:val="22"/>
            <w:lang w:eastAsia="en-GB" w:bidi="ar-SA"/>
          </w:rPr>
          <w:tab/>
        </w:r>
        <w:r w:rsidR="00AC4D1A" w:rsidRPr="00714EB3">
          <w:rPr>
            <w:rStyle w:val="Hyperlink"/>
            <w:noProof/>
          </w:rPr>
          <w:t>Risk management</w:t>
        </w:r>
        <w:r w:rsidR="00AC4D1A">
          <w:rPr>
            <w:noProof/>
            <w:webHidden/>
          </w:rPr>
          <w:tab/>
        </w:r>
        <w:r w:rsidR="00AC4D1A">
          <w:rPr>
            <w:noProof/>
            <w:webHidden/>
          </w:rPr>
          <w:fldChar w:fldCharType="begin"/>
        </w:r>
        <w:r w:rsidR="00AC4D1A">
          <w:rPr>
            <w:noProof/>
            <w:webHidden/>
          </w:rPr>
          <w:instrText xml:space="preserve"> PAGEREF _Toc53137958 \h </w:instrText>
        </w:r>
        <w:r w:rsidR="00AC4D1A">
          <w:rPr>
            <w:noProof/>
            <w:webHidden/>
          </w:rPr>
        </w:r>
        <w:r w:rsidR="00AC4D1A">
          <w:rPr>
            <w:noProof/>
            <w:webHidden/>
          </w:rPr>
          <w:fldChar w:fldCharType="separate"/>
        </w:r>
        <w:r w:rsidR="0084301B">
          <w:rPr>
            <w:noProof/>
            <w:webHidden/>
          </w:rPr>
          <w:t>9</w:t>
        </w:r>
        <w:r w:rsidR="00AC4D1A">
          <w:rPr>
            <w:noProof/>
            <w:webHidden/>
          </w:rPr>
          <w:fldChar w:fldCharType="end"/>
        </w:r>
      </w:hyperlink>
    </w:p>
    <w:p w14:paraId="0E606632" w14:textId="2CADC2A9" w:rsidR="00AC4D1A" w:rsidRDefault="000923A6">
      <w:pPr>
        <w:pStyle w:val="TOC3"/>
        <w:tabs>
          <w:tab w:val="left" w:pos="1100"/>
          <w:tab w:val="right" w:leader="dot" w:pos="9060"/>
        </w:tabs>
        <w:rPr>
          <w:rFonts w:eastAsiaTheme="minorEastAsia" w:cstheme="minorBidi"/>
          <w:i w:val="0"/>
          <w:iCs w:val="0"/>
          <w:noProof/>
          <w:sz w:val="22"/>
          <w:szCs w:val="22"/>
          <w:lang w:eastAsia="en-GB" w:bidi="ar-SA"/>
        </w:rPr>
      </w:pPr>
      <w:hyperlink w:anchor="_Toc53137959" w:history="1">
        <w:r w:rsidR="00AC4D1A" w:rsidRPr="00714EB3">
          <w:rPr>
            <w:rStyle w:val="Hyperlink"/>
            <w:noProof/>
          </w:rPr>
          <w:t>2.3.1</w:t>
        </w:r>
        <w:r w:rsidR="00AC4D1A">
          <w:rPr>
            <w:rFonts w:eastAsiaTheme="minorEastAsia" w:cstheme="minorBidi"/>
            <w:i w:val="0"/>
            <w:iCs w:val="0"/>
            <w:noProof/>
            <w:sz w:val="22"/>
            <w:szCs w:val="22"/>
            <w:lang w:eastAsia="en-GB" w:bidi="ar-SA"/>
          </w:rPr>
          <w:tab/>
        </w:r>
        <w:r w:rsidR="00AC4D1A" w:rsidRPr="00714EB3">
          <w:rPr>
            <w:rStyle w:val="Hyperlink"/>
            <w:noProof/>
          </w:rPr>
          <w:t>Labelling</w:t>
        </w:r>
        <w:r w:rsidR="00AC4D1A">
          <w:rPr>
            <w:noProof/>
            <w:webHidden/>
          </w:rPr>
          <w:tab/>
        </w:r>
        <w:r w:rsidR="00AC4D1A">
          <w:rPr>
            <w:noProof/>
            <w:webHidden/>
          </w:rPr>
          <w:fldChar w:fldCharType="begin"/>
        </w:r>
        <w:r w:rsidR="00AC4D1A">
          <w:rPr>
            <w:noProof/>
            <w:webHidden/>
          </w:rPr>
          <w:instrText xml:space="preserve"> PAGEREF _Toc53137959 \h </w:instrText>
        </w:r>
        <w:r w:rsidR="00AC4D1A">
          <w:rPr>
            <w:noProof/>
            <w:webHidden/>
          </w:rPr>
        </w:r>
        <w:r w:rsidR="00AC4D1A">
          <w:rPr>
            <w:noProof/>
            <w:webHidden/>
          </w:rPr>
          <w:fldChar w:fldCharType="separate"/>
        </w:r>
        <w:r w:rsidR="0084301B">
          <w:rPr>
            <w:noProof/>
            <w:webHidden/>
          </w:rPr>
          <w:t>9</w:t>
        </w:r>
        <w:r w:rsidR="00AC4D1A">
          <w:rPr>
            <w:noProof/>
            <w:webHidden/>
          </w:rPr>
          <w:fldChar w:fldCharType="end"/>
        </w:r>
      </w:hyperlink>
    </w:p>
    <w:p w14:paraId="233D4EC7" w14:textId="3A35DDE8" w:rsidR="00AC4D1A" w:rsidRDefault="000923A6">
      <w:pPr>
        <w:pStyle w:val="TOC2"/>
        <w:tabs>
          <w:tab w:val="left" w:pos="880"/>
          <w:tab w:val="right" w:leader="dot" w:pos="9060"/>
        </w:tabs>
        <w:rPr>
          <w:rFonts w:eastAsiaTheme="minorEastAsia" w:cstheme="minorBidi"/>
          <w:smallCaps w:val="0"/>
          <w:noProof/>
          <w:sz w:val="22"/>
          <w:szCs w:val="22"/>
          <w:lang w:eastAsia="en-GB" w:bidi="ar-SA"/>
        </w:rPr>
      </w:pPr>
      <w:hyperlink w:anchor="_Toc53137960" w:history="1">
        <w:r w:rsidR="00AC4D1A" w:rsidRPr="00714EB3">
          <w:rPr>
            <w:rStyle w:val="Hyperlink"/>
            <w:noProof/>
          </w:rPr>
          <w:t>2.4</w:t>
        </w:r>
        <w:r w:rsidR="00AC4D1A">
          <w:rPr>
            <w:rFonts w:eastAsiaTheme="minorEastAsia" w:cstheme="minorBidi"/>
            <w:smallCaps w:val="0"/>
            <w:noProof/>
            <w:sz w:val="22"/>
            <w:szCs w:val="22"/>
            <w:lang w:eastAsia="en-GB" w:bidi="ar-SA"/>
          </w:rPr>
          <w:tab/>
        </w:r>
        <w:r w:rsidR="00AC4D1A" w:rsidRPr="00714EB3">
          <w:rPr>
            <w:rStyle w:val="Hyperlink"/>
            <w:noProof/>
          </w:rPr>
          <w:t>Risk communication</w:t>
        </w:r>
        <w:r w:rsidR="00AC4D1A">
          <w:rPr>
            <w:noProof/>
            <w:webHidden/>
          </w:rPr>
          <w:tab/>
        </w:r>
        <w:r w:rsidR="00AC4D1A">
          <w:rPr>
            <w:noProof/>
            <w:webHidden/>
          </w:rPr>
          <w:fldChar w:fldCharType="begin"/>
        </w:r>
        <w:r w:rsidR="00AC4D1A">
          <w:rPr>
            <w:noProof/>
            <w:webHidden/>
          </w:rPr>
          <w:instrText xml:space="preserve"> PAGEREF _Toc53137960 \h </w:instrText>
        </w:r>
        <w:r w:rsidR="00AC4D1A">
          <w:rPr>
            <w:noProof/>
            <w:webHidden/>
          </w:rPr>
        </w:r>
        <w:r w:rsidR="00AC4D1A">
          <w:rPr>
            <w:noProof/>
            <w:webHidden/>
          </w:rPr>
          <w:fldChar w:fldCharType="separate"/>
        </w:r>
        <w:r w:rsidR="0084301B">
          <w:rPr>
            <w:noProof/>
            <w:webHidden/>
          </w:rPr>
          <w:t>10</w:t>
        </w:r>
        <w:r w:rsidR="00AC4D1A">
          <w:rPr>
            <w:noProof/>
            <w:webHidden/>
          </w:rPr>
          <w:fldChar w:fldCharType="end"/>
        </w:r>
      </w:hyperlink>
    </w:p>
    <w:p w14:paraId="0203EE21" w14:textId="64F28836" w:rsidR="00AC4D1A" w:rsidRDefault="000923A6">
      <w:pPr>
        <w:pStyle w:val="TOC3"/>
        <w:tabs>
          <w:tab w:val="left" w:pos="1100"/>
          <w:tab w:val="right" w:leader="dot" w:pos="9060"/>
        </w:tabs>
        <w:rPr>
          <w:rFonts w:eastAsiaTheme="minorEastAsia" w:cstheme="minorBidi"/>
          <w:i w:val="0"/>
          <w:iCs w:val="0"/>
          <w:noProof/>
          <w:sz w:val="22"/>
          <w:szCs w:val="22"/>
          <w:lang w:eastAsia="en-GB" w:bidi="ar-SA"/>
        </w:rPr>
      </w:pPr>
      <w:hyperlink w:anchor="_Toc53137961" w:history="1">
        <w:r w:rsidR="00AC4D1A" w:rsidRPr="00714EB3">
          <w:rPr>
            <w:rStyle w:val="Hyperlink"/>
            <w:noProof/>
          </w:rPr>
          <w:t>2.4.1</w:t>
        </w:r>
        <w:r w:rsidR="00AC4D1A">
          <w:rPr>
            <w:rFonts w:eastAsiaTheme="minorEastAsia" w:cstheme="minorBidi"/>
            <w:i w:val="0"/>
            <w:iCs w:val="0"/>
            <w:noProof/>
            <w:sz w:val="22"/>
            <w:szCs w:val="22"/>
            <w:lang w:eastAsia="en-GB" w:bidi="ar-SA"/>
          </w:rPr>
          <w:tab/>
        </w:r>
        <w:r w:rsidR="00AC4D1A" w:rsidRPr="00714EB3">
          <w:rPr>
            <w:rStyle w:val="Hyperlink"/>
            <w:noProof/>
          </w:rPr>
          <w:t>Consultation</w:t>
        </w:r>
        <w:r w:rsidR="00AC4D1A">
          <w:rPr>
            <w:noProof/>
            <w:webHidden/>
          </w:rPr>
          <w:tab/>
        </w:r>
        <w:r w:rsidR="00AC4D1A">
          <w:rPr>
            <w:noProof/>
            <w:webHidden/>
          </w:rPr>
          <w:fldChar w:fldCharType="begin"/>
        </w:r>
        <w:r w:rsidR="00AC4D1A">
          <w:rPr>
            <w:noProof/>
            <w:webHidden/>
          </w:rPr>
          <w:instrText xml:space="preserve"> PAGEREF _Toc53137961 \h </w:instrText>
        </w:r>
        <w:r w:rsidR="00AC4D1A">
          <w:rPr>
            <w:noProof/>
            <w:webHidden/>
          </w:rPr>
        </w:r>
        <w:r w:rsidR="00AC4D1A">
          <w:rPr>
            <w:noProof/>
            <w:webHidden/>
          </w:rPr>
          <w:fldChar w:fldCharType="separate"/>
        </w:r>
        <w:r w:rsidR="0084301B">
          <w:rPr>
            <w:noProof/>
            <w:webHidden/>
          </w:rPr>
          <w:t>10</w:t>
        </w:r>
        <w:r w:rsidR="00AC4D1A">
          <w:rPr>
            <w:noProof/>
            <w:webHidden/>
          </w:rPr>
          <w:fldChar w:fldCharType="end"/>
        </w:r>
      </w:hyperlink>
    </w:p>
    <w:p w14:paraId="6BD3268D" w14:textId="5AD83B2F" w:rsidR="00AC4D1A" w:rsidRDefault="000923A6">
      <w:pPr>
        <w:pStyle w:val="TOC3"/>
        <w:tabs>
          <w:tab w:val="left" w:pos="1100"/>
          <w:tab w:val="right" w:leader="dot" w:pos="9060"/>
        </w:tabs>
        <w:rPr>
          <w:rFonts w:eastAsiaTheme="minorEastAsia" w:cstheme="minorBidi"/>
          <w:i w:val="0"/>
          <w:iCs w:val="0"/>
          <w:noProof/>
          <w:sz w:val="22"/>
          <w:szCs w:val="22"/>
          <w:lang w:eastAsia="en-GB" w:bidi="ar-SA"/>
        </w:rPr>
      </w:pPr>
      <w:hyperlink w:anchor="_Toc53137962" w:history="1">
        <w:r w:rsidR="00AC4D1A" w:rsidRPr="00714EB3">
          <w:rPr>
            <w:rStyle w:val="Hyperlink"/>
            <w:noProof/>
          </w:rPr>
          <w:t>2.4.2</w:t>
        </w:r>
        <w:r w:rsidR="00AC4D1A">
          <w:rPr>
            <w:rFonts w:eastAsiaTheme="minorEastAsia" w:cstheme="minorBidi"/>
            <w:i w:val="0"/>
            <w:iCs w:val="0"/>
            <w:noProof/>
            <w:sz w:val="22"/>
            <w:szCs w:val="22"/>
            <w:lang w:eastAsia="en-GB" w:bidi="ar-SA"/>
          </w:rPr>
          <w:tab/>
        </w:r>
        <w:r w:rsidR="00AC4D1A" w:rsidRPr="00714EB3">
          <w:rPr>
            <w:rStyle w:val="Hyperlink"/>
            <w:noProof/>
          </w:rPr>
          <w:t>World Trade Organization</w:t>
        </w:r>
        <w:r w:rsidR="00AC4D1A">
          <w:rPr>
            <w:noProof/>
            <w:webHidden/>
          </w:rPr>
          <w:tab/>
        </w:r>
        <w:r w:rsidR="00AC4D1A">
          <w:rPr>
            <w:noProof/>
            <w:webHidden/>
          </w:rPr>
          <w:fldChar w:fldCharType="begin"/>
        </w:r>
        <w:r w:rsidR="00AC4D1A">
          <w:rPr>
            <w:noProof/>
            <w:webHidden/>
          </w:rPr>
          <w:instrText xml:space="preserve"> PAGEREF _Toc53137962 \h </w:instrText>
        </w:r>
        <w:r w:rsidR="00AC4D1A">
          <w:rPr>
            <w:noProof/>
            <w:webHidden/>
          </w:rPr>
        </w:r>
        <w:r w:rsidR="00AC4D1A">
          <w:rPr>
            <w:noProof/>
            <w:webHidden/>
          </w:rPr>
          <w:fldChar w:fldCharType="separate"/>
        </w:r>
        <w:r w:rsidR="0084301B">
          <w:rPr>
            <w:noProof/>
            <w:webHidden/>
          </w:rPr>
          <w:t>10</w:t>
        </w:r>
        <w:r w:rsidR="00AC4D1A">
          <w:rPr>
            <w:noProof/>
            <w:webHidden/>
          </w:rPr>
          <w:fldChar w:fldCharType="end"/>
        </w:r>
      </w:hyperlink>
    </w:p>
    <w:p w14:paraId="1E7AE2C4" w14:textId="66375465" w:rsidR="00AC4D1A" w:rsidRDefault="000923A6">
      <w:pPr>
        <w:pStyle w:val="TOC2"/>
        <w:tabs>
          <w:tab w:val="left" w:pos="880"/>
          <w:tab w:val="right" w:leader="dot" w:pos="9060"/>
        </w:tabs>
        <w:rPr>
          <w:rFonts w:eastAsiaTheme="minorEastAsia" w:cstheme="minorBidi"/>
          <w:smallCaps w:val="0"/>
          <w:noProof/>
          <w:sz w:val="22"/>
          <w:szCs w:val="22"/>
          <w:lang w:eastAsia="en-GB" w:bidi="ar-SA"/>
        </w:rPr>
      </w:pPr>
      <w:hyperlink w:anchor="_Toc53137963" w:history="1">
        <w:r w:rsidR="00AC4D1A" w:rsidRPr="00714EB3">
          <w:rPr>
            <w:rStyle w:val="Hyperlink"/>
            <w:noProof/>
          </w:rPr>
          <w:t>2.5</w:t>
        </w:r>
        <w:r w:rsidR="00AC4D1A">
          <w:rPr>
            <w:rFonts w:eastAsiaTheme="minorEastAsia" w:cstheme="minorBidi"/>
            <w:smallCaps w:val="0"/>
            <w:noProof/>
            <w:sz w:val="22"/>
            <w:szCs w:val="22"/>
            <w:lang w:eastAsia="en-GB" w:bidi="ar-SA"/>
          </w:rPr>
          <w:tab/>
        </w:r>
        <w:r w:rsidR="00AC4D1A" w:rsidRPr="00714EB3">
          <w:rPr>
            <w:rStyle w:val="Hyperlink"/>
            <w:noProof/>
          </w:rPr>
          <w:t>FSANZ Act assessment requirements</w:t>
        </w:r>
        <w:r w:rsidR="00AC4D1A">
          <w:rPr>
            <w:noProof/>
            <w:webHidden/>
          </w:rPr>
          <w:tab/>
        </w:r>
        <w:r w:rsidR="00AC4D1A">
          <w:rPr>
            <w:noProof/>
            <w:webHidden/>
          </w:rPr>
          <w:fldChar w:fldCharType="begin"/>
        </w:r>
        <w:r w:rsidR="00AC4D1A">
          <w:rPr>
            <w:noProof/>
            <w:webHidden/>
          </w:rPr>
          <w:instrText xml:space="preserve"> PAGEREF _Toc53137963 \h </w:instrText>
        </w:r>
        <w:r w:rsidR="00AC4D1A">
          <w:rPr>
            <w:noProof/>
            <w:webHidden/>
          </w:rPr>
        </w:r>
        <w:r w:rsidR="00AC4D1A">
          <w:rPr>
            <w:noProof/>
            <w:webHidden/>
          </w:rPr>
          <w:fldChar w:fldCharType="separate"/>
        </w:r>
        <w:r w:rsidR="0084301B">
          <w:rPr>
            <w:noProof/>
            <w:webHidden/>
          </w:rPr>
          <w:t>10</w:t>
        </w:r>
        <w:r w:rsidR="00AC4D1A">
          <w:rPr>
            <w:noProof/>
            <w:webHidden/>
          </w:rPr>
          <w:fldChar w:fldCharType="end"/>
        </w:r>
      </w:hyperlink>
    </w:p>
    <w:p w14:paraId="6B5A4733" w14:textId="665BC2B5" w:rsidR="00AC4D1A" w:rsidRDefault="000923A6">
      <w:pPr>
        <w:pStyle w:val="TOC3"/>
        <w:tabs>
          <w:tab w:val="left" w:pos="1100"/>
          <w:tab w:val="right" w:leader="dot" w:pos="9060"/>
        </w:tabs>
        <w:rPr>
          <w:rFonts w:eastAsiaTheme="minorEastAsia" w:cstheme="minorBidi"/>
          <w:i w:val="0"/>
          <w:iCs w:val="0"/>
          <w:noProof/>
          <w:sz w:val="22"/>
          <w:szCs w:val="22"/>
          <w:lang w:eastAsia="en-GB" w:bidi="ar-SA"/>
        </w:rPr>
      </w:pPr>
      <w:hyperlink w:anchor="_Toc53137964" w:history="1">
        <w:r w:rsidR="00AC4D1A" w:rsidRPr="00714EB3">
          <w:rPr>
            <w:rStyle w:val="Hyperlink"/>
            <w:noProof/>
          </w:rPr>
          <w:t>2.5.1</w:t>
        </w:r>
        <w:r w:rsidR="00AC4D1A">
          <w:rPr>
            <w:rFonts w:eastAsiaTheme="minorEastAsia" w:cstheme="minorBidi"/>
            <w:i w:val="0"/>
            <w:iCs w:val="0"/>
            <w:noProof/>
            <w:sz w:val="22"/>
            <w:szCs w:val="22"/>
            <w:lang w:eastAsia="en-GB" w:bidi="ar-SA"/>
          </w:rPr>
          <w:tab/>
        </w:r>
        <w:r w:rsidR="00AC4D1A" w:rsidRPr="00714EB3">
          <w:rPr>
            <w:rStyle w:val="Hyperlink"/>
            <w:noProof/>
          </w:rPr>
          <w:t>Section 29</w:t>
        </w:r>
        <w:r w:rsidR="00AC4D1A">
          <w:rPr>
            <w:noProof/>
            <w:webHidden/>
          </w:rPr>
          <w:tab/>
        </w:r>
        <w:r w:rsidR="00AC4D1A">
          <w:rPr>
            <w:noProof/>
            <w:webHidden/>
          </w:rPr>
          <w:fldChar w:fldCharType="begin"/>
        </w:r>
        <w:r w:rsidR="00AC4D1A">
          <w:rPr>
            <w:noProof/>
            <w:webHidden/>
          </w:rPr>
          <w:instrText xml:space="preserve"> PAGEREF _Toc53137964 \h </w:instrText>
        </w:r>
        <w:r w:rsidR="00AC4D1A">
          <w:rPr>
            <w:noProof/>
            <w:webHidden/>
          </w:rPr>
        </w:r>
        <w:r w:rsidR="00AC4D1A">
          <w:rPr>
            <w:noProof/>
            <w:webHidden/>
          </w:rPr>
          <w:fldChar w:fldCharType="separate"/>
        </w:r>
        <w:r w:rsidR="0084301B">
          <w:rPr>
            <w:noProof/>
            <w:webHidden/>
          </w:rPr>
          <w:t>10</w:t>
        </w:r>
        <w:r w:rsidR="00AC4D1A">
          <w:rPr>
            <w:noProof/>
            <w:webHidden/>
          </w:rPr>
          <w:fldChar w:fldCharType="end"/>
        </w:r>
      </w:hyperlink>
    </w:p>
    <w:p w14:paraId="016A731B" w14:textId="46902A17" w:rsidR="00AC4D1A" w:rsidRDefault="000923A6">
      <w:pPr>
        <w:pStyle w:val="TOC3"/>
        <w:tabs>
          <w:tab w:val="left" w:pos="1320"/>
          <w:tab w:val="right" w:leader="dot" w:pos="9060"/>
        </w:tabs>
        <w:rPr>
          <w:rFonts w:eastAsiaTheme="minorEastAsia" w:cstheme="minorBidi"/>
          <w:i w:val="0"/>
          <w:iCs w:val="0"/>
          <w:noProof/>
          <w:sz w:val="22"/>
          <w:szCs w:val="22"/>
          <w:lang w:eastAsia="en-GB" w:bidi="ar-SA"/>
        </w:rPr>
      </w:pPr>
      <w:hyperlink w:anchor="_Toc53137965" w:history="1">
        <w:r w:rsidR="00AC4D1A" w:rsidRPr="00714EB3">
          <w:rPr>
            <w:rStyle w:val="Hyperlink"/>
            <w:noProof/>
          </w:rPr>
          <w:t>2.5.2.</w:t>
        </w:r>
        <w:r w:rsidR="00AC4D1A">
          <w:rPr>
            <w:rFonts w:eastAsiaTheme="minorEastAsia" w:cstheme="minorBidi"/>
            <w:i w:val="0"/>
            <w:iCs w:val="0"/>
            <w:noProof/>
            <w:sz w:val="22"/>
            <w:szCs w:val="22"/>
            <w:lang w:eastAsia="en-GB" w:bidi="ar-SA"/>
          </w:rPr>
          <w:tab/>
        </w:r>
        <w:r w:rsidR="00AC4D1A" w:rsidRPr="00714EB3">
          <w:rPr>
            <w:rStyle w:val="Hyperlink"/>
            <w:noProof/>
          </w:rPr>
          <w:t>Subsection 18(1)</w:t>
        </w:r>
        <w:r w:rsidR="00AC4D1A">
          <w:rPr>
            <w:noProof/>
            <w:webHidden/>
          </w:rPr>
          <w:tab/>
        </w:r>
        <w:r w:rsidR="00AC4D1A">
          <w:rPr>
            <w:noProof/>
            <w:webHidden/>
          </w:rPr>
          <w:fldChar w:fldCharType="begin"/>
        </w:r>
        <w:r w:rsidR="00AC4D1A">
          <w:rPr>
            <w:noProof/>
            <w:webHidden/>
          </w:rPr>
          <w:instrText xml:space="preserve"> PAGEREF _Toc53137965 \h </w:instrText>
        </w:r>
        <w:r w:rsidR="00AC4D1A">
          <w:rPr>
            <w:noProof/>
            <w:webHidden/>
          </w:rPr>
        </w:r>
        <w:r w:rsidR="00AC4D1A">
          <w:rPr>
            <w:noProof/>
            <w:webHidden/>
          </w:rPr>
          <w:fldChar w:fldCharType="separate"/>
        </w:r>
        <w:r w:rsidR="0084301B">
          <w:rPr>
            <w:noProof/>
            <w:webHidden/>
          </w:rPr>
          <w:t>12</w:t>
        </w:r>
        <w:r w:rsidR="00AC4D1A">
          <w:rPr>
            <w:noProof/>
            <w:webHidden/>
          </w:rPr>
          <w:fldChar w:fldCharType="end"/>
        </w:r>
      </w:hyperlink>
    </w:p>
    <w:p w14:paraId="6BCE84C9" w14:textId="093591EC" w:rsidR="00AC4D1A" w:rsidRDefault="000923A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137966" w:history="1">
        <w:r w:rsidR="00AC4D1A" w:rsidRPr="00714EB3">
          <w:rPr>
            <w:rStyle w:val="Hyperlink"/>
            <w:noProof/>
          </w:rPr>
          <w:t>3</w:t>
        </w:r>
        <w:r w:rsidR="00AC4D1A">
          <w:rPr>
            <w:rFonts w:eastAsiaTheme="minorEastAsia" w:cstheme="minorBidi"/>
            <w:b w:val="0"/>
            <w:bCs w:val="0"/>
            <w:caps w:val="0"/>
            <w:noProof/>
            <w:sz w:val="22"/>
            <w:szCs w:val="22"/>
            <w:lang w:eastAsia="en-GB" w:bidi="ar-SA"/>
          </w:rPr>
          <w:tab/>
        </w:r>
        <w:r w:rsidR="00AC4D1A" w:rsidRPr="00714EB3">
          <w:rPr>
            <w:rStyle w:val="Hyperlink"/>
            <w:noProof/>
          </w:rPr>
          <w:t>References</w:t>
        </w:r>
        <w:r w:rsidR="00AC4D1A">
          <w:rPr>
            <w:noProof/>
            <w:webHidden/>
          </w:rPr>
          <w:tab/>
        </w:r>
        <w:r w:rsidR="00AC4D1A">
          <w:rPr>
            <w:noProof/>
            <w:webHidden/>
          </w:rPr>
          <w:fldChar w:fldCharType="begin"/>
        </w:r>
        <w:r w:rsidR="00AC4D1A">
          <w:rPr>
            <w:noProof/>
            <w:webHidden/>
          </w:rPr>
          <w:instrText xml:space="preserve"> PAGEREF _Toc53137966 \h </w:instrText>
        </w:r>
        <w:r w:rsidR="00AC4D1A">
          <w:rPr>
            <w:noProof/>
            <w:webHidden/>
          </w:rPr>
        </w:r>
        <w:r w:rsidR="00AC4D1A">
          <w:rPr>
            <w:noProof/>
            <w:webHidden/>
          </w:rPr>
          <w:fldChar w:fldCharType="separate"/>
        </w:r>
        <w:r w:rsidR="0084301B">
          <w:rPr>
            <w:noProof/>
            <w:webHidden/>
          </w:rPr>
          <w:t>13</w:t>
        </w:r>
        <w:r w:rsidR="00AC4D1A">
          <w:rPr>
            <w:noProof/>
            <w:webHidden/>
          </w:rPr>
          <w:fldChar w:fldCharType="end"/>
        </w:r>
      </w:hyperlink>
    </w:p>
    <w:p w14:paraId="6CC8F2C7" w14:textId="16BC51CE" w:rsidR="00AC4D1A" w:rsidRDefault="000923A6">
      <w:pPr>
        <w:pStyle w:val="TOC2"/>
        <w:tabs>
          <w:tab w:val="right" w:leader="dot" w:pos="9060"/>
        </w:tabs>
        <w:rPr>
          <w:rFonts w:eastAsiaTheme="minorEastAsia" w:cstheme="minorBidi"/>
          <w:smallCaps w:val="0"/>
          <w:noProof/>
          <w:sz w:val="22"/>
          <w:szCs w:val="22"/>
          <w:lang w:eastAsia="en-GB" w:bidi="ar-SA"/>
        </w:rPr>
      </w:pPr>
      <w:hyperlink w:anchor="_Toc53137967" w:history="1">
        <w:r w:rsidR="00AC4D1A" w:rsidRPr="00714EB3">
          <w:rPr>
            <w:rStyle w:val="Hyperlink"/>
            <w:noProof/>
          </w:rPr>
          <w:t xml:space="preserve">Attachment A – Draft variation to the </w:t>
        </w:r>
        <w:r w:rsidR="00AC4D1A" w:rsidRPr="00714EB3">
          <w:rPr>
            <w:rStyle w:val="Hyperlink"/>
            <w:i/>
            <w:noProof/>
          </w:rPr>
          <w:t>Australia New Zealand Food Standards Code</w:t>
        </w:r>
        <w:r w:rsidR="00AC4D1A">
          <w:rPr>
            <w:noProof/>
            <w:webHidden/>
          </w:rPr>
          <w:tab/>
        </w:r>
        <w:r w:rsidR="00AC4D1A">
          <w:rPr>
            <w:noProof/>
            <w:webHidden/>
          </w:rPr>
          <w:fldChar w:fldCharType="begin"/>
        </w:r>
        <w:r w:rsidR="00AC4D1A">
          <w:rPr>
            <w:noProof/>
            <w:webHidden/>
          </w:rPr>
          <w:instrText xml:space="preserve"> PAGEREF _Toc53137967 \h </w:instrText>
        </w:r>
        <w:r w:rsidR="00AC4D1A">
          <w:rPr>
            <w:noProof/>
            <w:webHidden/>
          </w:rPr>
        </w:r>
        <w:r w:rsidR="00AC4D1A">
          <w:rPr>
            <w:noProof/>
            <w:webHidden/>
          </w:rPr>
          <w:fldChar w:fldCharType="separate"/>
        </w:r>
        <w:r w:rsidR="0084301B">
          <w:rPr>
            <w:noProof/>
            <w:webHidden/>
          </w:rPr>
          <w:t>14</w:t>
        </w:r>
        <w:r w:rsidR="00AC4D1A">
          <w:rPr>
            <w:noProof/>
            <w:webHidden/>
          </w:rPr>
          <w:fldChar w:fldCharType="end"/>
        </w:r>
      </w:hyperlink>
    </w:p>
    <w:p w14:paraId="7416A6EA" w14:textId="7A524BA9" w:rsidR="00AC4D1A" w:rsidRDefault="000923A6">
      <w:pPr>
        <w:pStyle w:val="TOC2"/>
        <w:tabs>
          <w:tab w:val="right" w:leader="dot" w:pos="9060"/>
        </w:tabs>
        <w:rPr>
          <w:rFonts w:eastAsiaTheme="minorEastAsia" w:cstheme="minorBidi"/>
          <w:smallCaps w:val="0"/>
          <w:noProof/>
          <w:sz w:val="22"/>
          <w:szCs w:val="22"/>
          <w:lang w:eastAsia="en-GB" w:bidi="ar-SA"/>
        </w:rPr>
      </w:pPr>
      <w:hyperlink w:anchor="_Toc53137968" w:history="1">
        <w:r w:rsidR="00AC4D1A" w:rsidRPr="00714EB3">
          <w:rPr>
            <w:rStyle w:val="Hyperlink"/>
            <w:noProof/>
          </w:rPr>
          <w:t>Attachment B – Draft Explanatory Statement</w:t>
        </w:r>
        <w:r w:rsidR="00AC4D1A">
          <w:rPr>
            <w:noProof/>
            <w:webHidden/>
          </w:rPr>
          <w:tab/>
        </w:r>
        <w:r w:rsidR="00AC4D1A">
          <w:rPr>
            <w:noProof/>
            <w:webHidden/>
          </w:rPr>
          <w:fldChar w:fldCharType="begin"/>
        </w:r>
        <w:r w:rsidR="00AC4D1A">
          <w:rPr>
            <w:noProof/>
            <w:webHidden/>
          </w:rPr>
          <w:instrText xml:space="preserve"> PAGEREF _Toc53137968 \h </w:instrText>
        </w:r>
        <w:r w:rsidR="00AC4D1A">
          <w:rPr>
            <w:noProof/>
            <w:webHidden/>
          </w:rPr>
          <w:fldChar w:fldCharType="separate"/>
        </w:r>
        <w:r w:rsidR="0084301B">
          <w:rPr>
            <w:b/>
            <w:bCs/>
            <w:noProof/>
            <w:webHidden/>
            <w:lang w:val="en-US"/>
          </w:rPr>
          <w:t>Error! Bookmark not defined.</w:t>
        </w:r>
        <w:r w:rsidR="00AC4D1A">
          <w:rPr>
            <w:noProof/>
            <w:webHidden/>
          </w:rPr>
          <w:fldChar w:fldCharType="end"/>
        </w:r>
      </w:hyperlink>
    </w:p>
    <w:p w14:paraId="6B6DC5D3" w14:textId="1D4062A9" w:rsidR="0012388D" w:rsidRDefault="00B55714" w:rsidP="00C91C02">
      <w:r w:rsidRPr="00346622">
        <w:rPr>
          <w:rFonts w:cs="Arial"/>
          <w:sz w:val="20"/>
          <w:szCs w:val="20"/>
        </w:rPr>
        <w:fldChar w:fldCharType="end"/>
      </w:r>
    </w:p>
    <w:p w14:paraId="6D4B2776" w14:textId="77777777" w:rsidR="007F7BF7" w:rsidRDefault="007F7BF7" w:rsidP="00CA5734"/>
    <w:p w14:paraId="7735C4C9" w14:textId="11D58904"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p>
    <w:p w14:paraId="64CB5B03" w14:textId="77777777" w:rsidR="00A671E6" w:rsidRPr="0089264A" w:rsidRDefault="00A671E6" w:rsidP="00A671E6">
      <w:pPr>
        <w:rPr>
          <w:szCs w:val="22"/>
        </w:rPr>
      </w:pPr>
    </w:p>
    <w:p w14:paraId="686F7600" w14:textId="75255EC2" w:rsidR="007A53BF" w:rsidRPr="0089264A" w:rsidRDefault="007A53BF" w:rsidP="007A53BF">
      <w:pPr>
        <w:rPr>
          <w:color w:val="FF0000"/>
          <w:szCs w:val="22"/>
        </w:rPr>
      </w:pPr>
      <w:r w:rsidRPr="0089264A">
        <w:rPr>
          <w:szCs w:val="22"/>
        </w:rPr>
        <w:t xml:space="preserve">The </w:t>
      </w:r>
      <w:hyperlink r:id="rId13" w:history="1">
        <w:r w:rsidRPr="006A68BF">
          <w:rPr>
            <w:rStyle w:val="Hyperlink"/>
            <w:szCs w:val="22"/>
          </w:rPr>
          <w:t>following document</w:t>
        </w:r>
      </w:hyperlink>
      <w:r w:rsidR="006A68BF">
        <w:rPr>
          <w:color w:val="FF0000"/>
          <w:szCs w:val="22"/>
        </w:rPr>
        <w:t xml:space="preserve"> </w:t>
      </w:r>
      <w:r>
        <w:rPr>
          <w:szCs w:val="22"/>
        </w:rPr>
        <w:t xml:space="preserve">which informed the assessment of this </w:t>
      </w:r>
      <w:r w:rsidR="006A68BF" w:rsidRPr="006A68BF">
        <w:rPr>
          <w:szCs w:val="22"/>
        </w:rPr>
        <w:t>application</w:t>
      </w:r>
      <w:r>
        <w:rPr>
          <w:szCs w:val="22"/>
        </w:rPr>
        <w:t xml:space="preserve"> </w:t>
      </w:r>
      <w:r w:rsidR="006A68BF">
        <w:rPr>
          <w:szCs w:val="22"/>
        </w:rPr>
        <w:t>is</w:t>
      </w:r>
      <w:r w:rsidRPr="0089264A">
        <w:rPr>
          <w:szCs w:val="22"/>
        </w:rPr>
        <w:t xml:space="preserve"> available on the FSANZ website</w:t>
      </w:r>
      <w:r w:rsidR="00FF3E26">
        <w:rPr>
          <w:szCs w:val="22"/>
        </w:rPr>
        <w:t>:</w:t>
      </w:r>
    </w:p>
    <w:p w14:paraId="170EDE21" w14:textId="77777777" w:rsidR="007A53BF" w:rsidRPr="0089264A" w:rsidRDefault="007A53BF" w:rsidP="007A53BF">
      <w:pPr>
        <w:rPr>
          <w:szCs w:val="22"/>
        </w:rPr>
      </w:pPr>
    </w:p>
    <w:p w14:paraId="306C62B1" w14:textId="636EEEE6" w:rsidR="007A53BF" w:rsidRPr="003A7725" w:rsidRDefault="007A53BF" w:rsidP="007A53BF">
      <w:pPr>
        <w:ind w:left="1134" w:hanging="1134"/>
        <w:rPr>
          <w:color w:val="FF0000"/>
        </w:rPr>
      </w:pPr>
      <w:r w:rsidRPr="006A68BF">
        <w:t>SD1</w:t>
      </w:r>
      <w:r w:rsidRPr="006A68BF">
        <w:tab/>
      </w:r>
      <w:r w:rsidR="006A68BF" w:rsidRPr="006A68BF">
        <w:t xml:space="preserve">Risk and </w:t>
      </w:r>
      <w:r w:rsidR="005C4D30" w:rsidRPr="006A68BF">
        <w:t>Techn</w:t>
      </w:r>
      <w:r w:rsidR="005C4D30">
        <w:t>ical</w:t>
      </w:r>
      <w:r w:rsidR="005C4D30" w:rsidRPr="006A68BF">
        <w:t xml:space="preserve"> </w:t>
      </w:r>
      <w:r w:rsidR="005C4D30">
        <w:t>A</w:t>
      </w:r>
      <w:r w:rsidR="005C4D30" w:rsidRPr="006A68BF">
        <w:t xml:space="preserve">ssessment </w:t>
      </w:r>
      <w:r w:rsidR="005C4D30">
        <w:t>Report</w:t>
      </w:r>
    </w:p>
    <w:p w14:paraId="4912FDD0" w14:textId="77777777" w:rsidR="003C4969" w:rsidRPr="00CA5734" w:rsidRDefault="00D15A08" w:rsidP="009A2699">
      <w:pPr>
        <w:spacing w:line="280" w:lineRule="exact"/>
        <w:ind w:left="851" w:hanging="851"/>
        <w:outlineLvl w:val="3"/>
        <w:rPr>
          <w:vanish/>
          <w:color w:val="FF0000"/>
        </w:rPr>
      </w:pPr>
      <w:r w:rsidRPr="00CA5734">
        <w:br w:type="page"/>
      </w:r>
    </w:p>
    <w:p w14:paraId="789FE269" w14:textId="77777777" w:rsidR="007A53BF" w:rsidRPr="007A53BF" w:rsidRDefault="007A53BF" w:rsidP="00CE59AA">
      <w:pPr>
        <w:pStyle w:val="Heading1"/>
      </w:pPr>
      <w:bookmarkStart w:id="1" w:name="_Toc286391001"/>
      <w:bookmarkStart w:id="2" w:name="_Toc300933414"/>
      <w:bookmarkStart w:id="3" w:name="_Toc370223463"/>
      <w:bookmarkStart w:id="4" w:name="_Toc53137938"/>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1B5428D2" w14:textId="1D952C08" w:rsidR="002B0E55" w:rsidRPr="00C70C12" w:rsidRDefault="00190DC0" w:rsidP="002B0E55">
      <w:pPr>
        <w:rPr>
          <w:lang w:bidi="ar-SA"/>
        </w:rPr>
      </w:pPr>
      <w:r>
        <w:t>Food Standards Australia New Zealand (</w:t>
      </w:r>
      <w:r w:rsidR="002B0E55" w:rsidRPr="00C70C12">
        <w:rPr>
          <w:lang w:bidi="ar-SA"/>
        </w:rPr>
        <w:t>FSANZ</w:t>
      </w:r>
      <w:r>
        <w:rPr>
          <w:lang w:bidi="ar-SA"/>
        </w:rPr>
        <w:t>)</w:t>
      </w:r>
      <w:r w:rsidR="002B0E55" w:rsidRPr="00C70C12">
        <w:rPr>
          <w:lang w:bidi="ar-SA"/>
        </w:rPr>
        <w:t xml:space="preserve"> has assessed an application from LANXESS Deutschland GmbH to amend the </w:t>
      </w:r>
      <w:r w:rsidR="002B0E55" w:rsidRPr="003D2704">
        <w:rPr>
          <w:i/>
          <w:lang w:bidi="ar-SA"/>
        </w:rPr>
        <w:t>Australia New Zealand Food Standards Code</w:t>
      </w:r>
      <w:r w:rsidR="002B0E55" w:rsidRPr="00C70C12">
        <w:rPr>
          <w:lang w:bidi="ar-SA"/>
        </w:rPr>
        <w:t xml:space="preserve"> (the Code) to permit the use of </w:t>
      </w:r>
      <w:r w:rsidR="002B0E55">
        <w:rPr>
          <w:lang w:bidi="ar-SA"/>
        </w:rPr>
        <w:t xml:space="preserve">a </w:t>
      </w:r>
      <w:r w:rsidR="002B0E55" w:rsidRPr="00C70C12">
        <w:rPr>
          <w:lang w:bidi="ar-SA"/>
        </w:rPr>
        <w:t>long-chain glycolipid mixture derive</w:t>
      </w:r>
      <w:r w:rsidR="002B0E55">
        <w:rPr>
          <w:lang w:bidi="ar-SA"/>
        </w:rPr>
        <w:t xml:space="preserve">d from </w:t>
      </w:r>
      <w:r w:rsidR="00F17492" w:rsidRPr="0038270E">
        <w:rPr>
          <w:i/>
        </w:rPr>
        <w:t>Dacryopinax spathularia</w:t>
      </w:r>
      <w:r w:rsidR="00F17492" w:rsidRPr="00C11502">
        <w:t xml:space="preserve"> (</w:t>
      </w:r>
      <w:r w:rsidR="00F17492">
        <w:t>‘jelly mushroom glycolipids’</w:t>
      </w:r>
      <w:r w:rsidR="00F17492" w:rsidRPr="00C11502">
        <w:t>)</w:t>
      </w:r>
      <w:r w:rsidR="002B0E55" w:rsidRPr="00C70C12">
        <w:rPr>
          <w:lang w:bidi="ar-SA"/>
        </w:rPr>
        <w:t xml:space="preserve"> for use as a food additive </w:t>
      </w:r>
      <w:r w:rsidR="002B0E55">
        <w:rPr>
          <w:lang w:bidi="ar-SA"/>
        </w:rPr>
        <w:t>(preservative)</w:t>
      </w:r>
      <w:r w:rsidR="002B0E55" w:rsidRPr="00C70C12">
        <w:rPr>
          <w:lang w:bidi="ar-SA"/>
        </w:rPr>
        <w:t xml:space="preserve"> in non-alcoholic beverages. </w:t>
      </w:r>
    </w:p>
    <w:p w14:paraId="06AECD18" w14:textId="77777777" w:rsidR="002B0E55" w:rsidRPr="00C70C12" w:rsidRDefault="002B0E55" w:rsidP="002B0E55">
      <w:pPr>
        <w:rPr>
          <w:lang w:bidi="ar-SA"/>
        </w:rPr>
      </w:pPr>
    </w:p>
    <w:p w14:paraId="7AFECC29" w14:textId="1B841BE5" w:rsidR="002B0E55" w:rsidRDefault="002B0E55" w:rsidP="002B0E55">
      <w:pPr>
        <w:rPr>
          <w:lang w:bidi="ar-SA"/>
        </w:rPr>
      </w:pPr>
      <w:r w:rsidRPr="00C70C12">
        <w:rPr>
          <w:lang w:bidi="ar-SA"/>
        </w:rPr>
        <w:t xml:space="preserve">The </w:t>
      </w:r>
      <w:r>
        <w:rPr>
          <w:lang w:bidi="ar-SA"/>
        </w:rPr>
        <w:t>a</w:t>
      </w:r>
      <w:r w:rsidRPr="00C70C12">
        <w:rPr>
          <w:lang w:bidi="ar-SA"/>
        </w:rPr>
        <w:t>pplication seeks permission for the following maximum permitted levels</w:t>
      </w:r>
      <w:r>
        <w:rPr>
          <w:lang w:bidi="ar-SA"/>
        </w:rPr>
        <w:t xml:space="preserve"> of jelly mushroom glycolipids</w:t>
      </w:r>
      <w:r w:rsidRPr="00C70C12">
        <w:rPr>
          <w:lang w:bidi="ar-SA"/>
        </w:rPr>
        <w:t xml:space="preserve"> to be permitted in the associated non-alcoholic beverages categories</w:t>
      </w:r>
      <w:r>
        <w:rPr>
          <w:lang w:bidi="ar-SA"/>
        </w:rPr>
        <w:t xml:space="preserve"> </w:t>
      </w:r>
    </w:p>
    <w:p w14:paraId="1BEB34D0" w14:textId="77777777" w:rsidR="002B0E55" w:rsidRPr="00C70C12" w:rsidRDefault="002B0E55" w:rsidP="002B0E55">
      <w:pPr>
        <w:rPr>
          <w:lang w:bidi="ar-SA"/>
        </w:rPr>
      </w:pPr>
    </w:p>
    <w:p w14:paraId="2955C30A" w14:textId="77777777" w:rsidR="002B0E55" w:rsidRPr="00C70C12" w:rsidRDefault="002B0E55" w:rsidP="002B0E55">
      <w:pPr>
        <w:pStyle w:val="ListParagraph"/>
        <w:numPr>
          <w:ilvl w:val="0"/>
          <w:numId w:val="9"/>
        </w:numPr>
        <w:rPr>
          <w:lang w:bidi="ar-SA"/>
        </w:rPr>
      </w:pPr>
      <w:r w:rsidRPr="00C70C12">
        <w:rPr>
          <w:lang w:bidi="ar-SA"/>
        </w:rPr>
        <w:t xml:space="preserve">100 </w:t>
      </w:r>
      <w:r>
        <w:rPr>
          <w:lang w:bidi="ar-SA"/>
        </w:rPr>
        <w:t>mg/kg</w:t>
      </w:r>
      <w:r w:rsidRPr="00C70C12">
        <w:rPr>
          <w:lang w:bidi="ar-SA"/>
        </w:rPr>
        <w:t xml:space="preserve"> for Fruit and vegetable juices and fruit and vegetable juice products</w:t>
      </w:r>
    </w:p>
    <w:p w14:paraId="5A28284E" w14:textId="77777777" w:rsidR="002B0E55" w:rsidRPr="00C70C12" w:rsidRDefault="002B0E55" w:rsidP="002B0E55">
      <w:pPr>
        <w:pStyle w:val="ListParagraph"/>
        <w:numPr>
          <w:ilvl w:val="0"/>
          <w:numId w:val="9"/>
        </w:numPr>
        <w:rPr>
          <w:lang w:bidi="ar-SA"/>
        </w:rPr>
      </w:pPr>
      <w:r w:rsidRPr="00C70C12">
        <w:rPr>
          <w:lang w:bidi="ar-SA"/>
        </w:rPr>
        <w:t xml:space="preserve">50 </w:t>
      </w:r>
      <w:r>
        <w:rPr>
          <w:lang w:bidi="ar-SA"/>
        </w:rPr>
        <w:t>mg/kg</w:t>
      </w:r>
      <w:r w:rsidRPr="00C70C12">
        <w:rPr>
          <w:lang w:bidi="ar-SA"/>
        </w:rPr>
        <w:t xml:space="preserve"> for Water based flavoured drinks</w:t>
      </w:r>
      <w:r>
        <w:rPr>
          <w:lang w:bidi="ar-SA"/>
        </w:rPr>
        <w:t>;</w:t>
      </w:r>
    </w:p>
    <w:p w14:paraId="519F11BA" w14:textId="77777777" w:rsidR="002B0E55" w:rsidRPr="00C70C12" w:rsidRDefault="002B0E55" w:rsidP="002B0E55">
      <w:pPr>
        <w:pStyle w:val="ListParagraph"/>
        <w:numPr>
          <w:ilvl w:val="0"/>
          <w:numId w:val="9"/>
        </w:numPr>
        <w:rPr>
          <w:lang w:bidi="ar-SA"/>
        </w:rPr>
      </w:pPr>
      <w:r>
        <w:rPr>
          <w:lang w:bidi="ar-SA"/>
        </w:rPr>
        <w:t>20 mg/kg</w:t>
      </w:r>
      <w:r w:rsidRPr="00C70C12">
        <w:rPr>
          <w:lang w:bidi="ar-SA"/>
        </w:rPr>
        <w:t xml:space="preserve"> for Formulated Beverages</w:t>
      </w:r>
      <w:r>
        <w:rPr>
          <w:lang w:bidi="ar-SA"/>
        </w:rPr>
        <w:t>;</w:t>
      </w:r>
    </w:p>
    <w:p w14:paraId="5E77DACB" w14:textId="77777777" w:rsidR="002B0E55" w:rsidRPr="00C70C12" w:rsidRDefault="002B0E55" w:rsidP="002B0E55">
      <w:pPr>
        <w:pStyle w:val="ListParagraph"/>
        <w:numPr>
          <w:ilvl w:val="0"/>
          <w:numId w:val="9"/>
        </w:numPr>
      </w:pPr>
      <w:r w:rsidRPr="00C70C12">
        <w:t>1</w:t>
      </w:r>
      <w:r>
        <w:t>0 mg/kg</w:t>
      </w:r>
      <w:r w:rsidRPr="00C70C12">
        <w:t xml:space="preserve"> for Coffee, coffee substitutes, tea, herbal infusions and similar products</w:t>
      </w:r>
      <w:r>
        <w:t>;</w:t>
      </w:r>
    </w:p>
    <w:p w14:paraId="37118FDD" w14:textId="77777777" w:rsidR="002B0E55" w:rsidRDefault="002B0E55" w:rsidP="002B0E55">
      <w:pPr>
        <w:pStyle w:val="ListParagraph"/>
        <w:numPr>
          <w:ilvl w:val="0"/>
          <w:numId w:val="9"/>
        </w:numPr>
      </w:pPr>
      <w:r>
        <w:t>100 mg/kg</w:t>
      </w:r>
      <w:r w:rsidRPr="00C70C12">
        <w:t xml:space="preserve"> for non-alcoholic beer</w:t>
      </w:r>
      <w:r>
        <w:t>.</w:t>
      </w:r>
      <w:r w:rsidRPr="00C70C12">
        <w:t xml:space="preserve"> </w:t>
      </w:r>
    </w:p>
    <w:p w14:paraId="37C8DD43" w14:textId="77777777" w:rsidR="002B0E55" w:rsidRDefault="002B0E55" w:rsidP="002B0E55"/>
    <w:p w14:paraId="2FDD3439" w14:textId="77777777" w:rsidR="002B0E55" w:rsidRDefault="002B0E55" w:rsidP="002B0E55">
      <w:r>
        <w:t>Jelly mushroom glycolipids function as a preservative against common yeasts and moulds in non-alcoholic beverages.</w:t>
      </w:r>
    </w:p>
    <w:p w14:paraId="5429433A" w14:textId="77777777" w:rsidR="002B0E55" w:rsidRDefault="002B0E55" w:rsidP="002B0E55"/>
    <w:p w14:paraId="4E04DDB6" w14:textId="7D7ECB17" w:rsidR="002B0E55" w:rsidRDefault="002B0E55" w:rsidP="002B0E55">
      <w:r>
        <w:t xml:space="preserve">Based on FSANZ’s </w:t>
      </w:r>
      <w:r w:rsidR="00203B18">
        <w:t xml:space="preserve">risk </w:t>
      </w:r>
      <w:r>
        <w:t xml:space="preserve">assessment, an acceptable daily intake (ADI) of 2.0 mg/kg body weight per day has been established. Dietary exposures estimated by FSANZ were below this ADI and therefore </w:t>
      </w:r>
      <w:r w:rsidR="00597D14">
        <w:t xml:space="preserve">FSANZ has </w:t>
      </w:r>
      <w:r w:rsidR="00F17492">
        <w:t>conclud</w:t>
      </w:r>
      <w:r w:rsidR="00597D14">
        <w:t>ed</w:t>
      </w:r>
      <w:r>
        <w:t xml:space="preserve"> that there are no public health and safety concerns from the use of jelly mushroom glycolipids at the proposed levels in the non-alcoholic beverage categories mentioned above.</w:t>
      </w:r>
    </w:p>
    <w:p w14:paraId="2BBA808F" w14:textId="77777777" w:rsidR="002B0E55" w:rsidRDefault="002B0E55" w:rsidP="002B0E55"/>
    <w:p w14:paraId="2CE2C7F1" w14:textId="77777777" w:rsidR="002B0E55" w:rsidRDefault="002B0E55" w:rsidP="002B0E55">
      <w:r>
        <w:t xml:space="preserve">Based on the FSANZ food technology assessment, the use of jelly mushroom glycolipids as a food additive in the quantity and form proposed is technologically justified. It is appropriately classified as a food additive since it provides a technological function as a preservative. </w:t>
      </w:r>
    </w:p>
    <w:p w14:paraId="131D21CD" w14:textId="77777777" w:rsidR="002B0E55" w:rsidRDefault="002B0E55" w:rsidP="002B0E55"/>
    <w:p w14:paraId="5FA66041" w14:textId="73748D8E" w:rsidR="002B0E55" w:rsidRDefault="002B0E55" w:rsidP="002B0E55">
      <w:r>
        <w:t>There is currently no specification for jelly mushroom glycolipids in the Code, nor are there any re</w:t>
      </w:r>
      <w:r w:rsidR="00C27194">
        <w:t xml:space="preserve">levant international standards. </w:t>
      </w:r>
      <w:r>
        <w:t xml:space="preserve">As such, FSANZ has </w:t>
      </w:r>
      <w:r w:rsidR="00C27194">
        <w:t xml:space="preserve">established </w:t>
      </w:r>
      <w:r>
        <w:t xml:space="preserve">a specification for jelly mushroom glycolipids to be included in Schedule 3 of the Code.   </w:t>
      </w:r>
    </w:p>
    <w:p w14:paraId="0CC792F4" w14:textId="77777777" w:rsidR="002B0E55" w:rsidRDefault="002B0E55" w:rsidP="002B0E55"/>
    <w:p w14:paraId="5F5D5F59" w14:textId="77777777" w:rsidR="002B0E55" w:rsidRDefault="002B0E55" w:rsidP="002B0E55">
      <w:r>
        <w:t xml:space="preserve">FSANZ has considered the potential impacts of approving a draft variation to the Code and has concluded that the direct and indirect benefits that would arise from permitting jelly mushroom glycolipids most likely outweighs the associated costs. </w:t>
      </w:r>
    </w:p>
    <w:p w14:paraId="1C1FC8D4" w14:textId="321806FB" w:rsidR="002B0E55" w:rsidRDefault="002B0E55" w:rsidP="002B0E55"/>
    <w:p w14:paraId="28BDCBC9" w14:textId="5D51CA34" w:rsidR="007A53BF" w:rsidRPr="00760C15" w:rsidRDefault="00192A16" w:rsidP="002B0E55">
      <w:r>
        <w:t xml:space="preserve">The draft variation </w:t>
      </w:r>
      <w:r>
        <w:rPr>
          <w:rFonts w:eastAsia="Calibri"/>
        </w:rPr>
        <w:t xml:space="preserve">proposed in call for submissions used the term </w:t>
      </w:r>
      <w:r>
        <w:t>“jelly mushroom glycolipids”</w:t>
      </w:r>
      <w:r>
        <w:rPr>
          <w:rFonts w:eastAsia="Calibri"/>
        </w:rPr>
        <w:t xml:space="preserve"> for the purposes of the proposed permissions and specifications</w:t>
      </w:r>
      <w:r w:rsidR="007E0982">
        <w:t xml:space="preserve">. </w:t>
      </w:r>
      <w:r w:rsidR="006A516B">
        <w:t xml:space="preserve">However, based on a late submission from the applicant and the need to more clearly define the </w:t>
      </w:r>
      <w:r w:rsidR="00454E4B">
        <w:t>source of the glycolipids</w:t>
      </w:r>
      <w:r w:rsidR="006A516B">
        <w:t xml:space="preserve">, </w:t>
      </w:r>
      <w:r w:rsidR="007E0982">
        <w:t xml:space="preserve">FSANZ </w:t>
      </w:r>
      <w:r w:rsidR="00E351F9">
        <w:t xml:space="preserve">decided </w:t>
      </w:r>
      <w:r w:rsidR="006A516B">
        <w:t>that</w:t>
      </w:r>
      <w:r w:rsidR="00E351F9">
        <w:t xml:space="preserve"> </w:t>
      </w:r>
      <w:r w:rsidR="00BF0432">
        <w:t>‘</w:t>
      </w:r>
      <w:r>
        <w:t>s</w:t>
      </w:r>
      <w:r w:rsidR="00E351F9" w:rsidRPr="00CF5474">
        <w:t xml:space="preserve">weet </w:t>
      </w:r>
      <w:r>
        <w:t>o</w:t>
      </w:r>
      <w:r w:rsidR="00E351F9" w:rsidRPr="00CF5474">
        <w:t xml:space="preserve">smanthus </w:t>
      </w:r>
      <w:r>
        <w:t>e</w:t>
      </w:r>
      <w:r w:rsidR="00E351F9" w:rsidRPr="00CF5474">
        <w:t>ar</w:t>
      </w:r>
      <w:r w:rsidR="00E351F9">
        <w:t xml:space="preserve"> </w:t>
      </w:r>
      <w:r>
        <w:t>g</w:t>
      </w:r>
      <w:r w:rsidR="00E351F9">
        <w:t>lycolipids</w:t>
      </w:r>
      <w:r w:rsidR="00BF0432">
        <w:t>’</w:t>
      </w:r>
      <w:r w:rsidR="00E351F9">
        <w:t xml:space="preserve"> was </w:t>
      </w:r>
      <w:r w:rsidR="006A516B">
        <w:t xml:space="preserve">a </w:t>
      </w:r>
      <w:r w:rsidR="00E351F9">
        <w:t xml:space="preserve">more </w:t>
      </w:r>
      <w:r>
        <w:t xml:space="preserve">accurate and </w:t>
      </w:r>
      <w:r w:rsidR="006A516B">
        <w:t xml:space="preserve">appropriate term </w:t>
      </w:r>
      <w:r>
        <w:t xml:space="preserve">or descriptor </w:t>
      </w:r>
      <w:r w:rsidR="00BF0432">
        <w:t xml:space="preserve">of jelly mushroom glycolipids </w:t>
      </w:r>
      <w:r w:rsidR="006A516B">
        <w:t>for Code purposes.</w:t>
      </w:r>
      <w:r w:rsidR="00E351F9">
        <w:t xml:space="preserve"> </w:t>
      </w:r>
      <w:r>
        <w:t xml:space="preserve"> </w:t>
      </w:r>
      <w:r w:rsidR="002B0E55">
        <w:t xml:space="preserve">FSANZ therefore approved a draft variation to </w:t>
      </w:r>
      <w:r w:rsidR="00F17492">
        <w:t xml:space="preserve">the Code </w:t>
      </w:r>
      <w:r w:rsidR="00F8103A">
        <w:t xml:space="preserve">to </w:t>
      </w:r>
      <w:r w:rsidR="002B0E55">
        <w:t xml:space="preserve">permit the use of </w:t>
      </w:r>
      <w:r w:rsidR="00BF0432">
        <w:t>‘</w:t>
      </w:r>
      <w:r>
        <w:t>s</w:t>
      </w:r>
      <w:r w:rsidR="00CF5474" w:rsidRPr="00CF5474">
        <w:t xml:space="preserve">weet </w:t>
      </w:r>
      <w:r>
        <w:t>o</w:t>
      </w:r>
      <w:r w:rsidR="00CF5474" w:rsidRPr="00CF5474">
        <w:t xml:space="preserve">smanthus </w:t>
      </w:r>
      <w:r>
        <w:t>e</w:t>
      </w:r>
      <w:r w:rsidR="00CF5474" w:rsidRPr="00CF5474">
        <w:t xml:space="preserve">ar </w:t>
      </w:r>
      <w:r w:rsidR="002B0E55">
        <w:t>glycolipids</w:t>
      </w:r>
      <w:r w:rsidR="00BF0432">
        <w:t>’</w:t>
      </w:r>
      <w:r w:rsidR="002B0E55">
        <w:t xml:space="preserve"> as a food additive in the requested non-alcoholic beverage categories at the </w:t>
      </w:r>
      <w:r w:rsidR="006D1581">
        <w:t xml:space="preserve">maximum </w:t>
      </w:r>
      <w:r w:rsidR="002B0E55">
        <w:t xml:space="preserve">permitted levels </w:t>
      </w:r>
      <w:r w:rsidR="002B0E55" w:rsidRPr="00760C15">
        <w:t>sought.</w:t>
      </w:r>
    </w:p>
    <w:p w14:paraId="143F9864" w14:textId="77777777" w:rsidR="00C836FF" w:rsidRDefault="00C836FF" w:rsidP="00760C15">
      <w:r>
        <w:br w:type="page"/>
      </w:r>
    </w:p>
    <w:p w14:paraId="66C5FAE9" w14:textId="77777777" w:rsidR="007A53BF" w:rsidRPr="007A53BF" w:rsidRDefault="007A53BF" w:rsidP="00CE59AA">
      <w:pPr>
        <w:pStyle w:val="Heading1"/>
      </w:pPr>
      <w:bookmarkStart w:id="10" w:name="_Toc300933417"/>
      <w:bookmarkStart w:id="11" w:name="_Toc370223464"/>
      <w:bookmarkStart w:id="12" w:name="_Toc53137939"/>
      <w:r w:rsidRPr="007A53BF">
        <w:t>1</w:t>
      </w:r>
      <w:r w:rsidRPr="007A53BF">
        <w:tab/>
        <w:t>Introduction</w:t>
      </w:r>
      <w:bookmarkEnd w:id="10"/>
      <w:bookmarkEnd w:id="11"/>
      <w:bookmarkEnd w:id="12"/>
    </w:p>
    <w:p w14:paraId="54379A87" w14:textId="70461480" w:rsidR="007A53BF" w:rsidRPr="00760C15" w:rsidRDefault="007A53BF" w:rsidP="00CE59AA">
      <w:pPr>
        <w:pStyle w:val="Heading2"/>
      </w:pPr>
      <w:bookmarkStart w:id="13" w:name="_Toc300761890"/>
      <w:bookmarkStart w:id="14" w:name="_Toc53137940"/>
      <w:bookmarkStart w:id="15" w:name="_Toc300933419"/>
      <w:bookmarkStart w:id="16" w:name="_Toc370223465"/>
      <w:r w:rsidRPr="007A53BF">
        <w:t>1.1</w:t>
      </w:r>
      <w:r w:rsidRPr="007A53BF">
        <w:tab/>
        <w:t>The Applicant</w:t>
      </w:r>
      <w:bookmarkEnd w:id="13"/>
      <w:bookmarkEnd w:id="14"/>
      <w:bookmarkEnd w:id="15"/>
      <w:bookmarkEnd w:id="16"/>
    </w:p>
    <w:p w14:paraId="74110734" w14:textId="77777777" w:rsidR="00D90705" w:rsidRPr="00772F97" w:rsidRDefault="00D90705" w:rsidP="00D90705">
      <w:pPr>
        <w:rPr>
          <w:szCs w:val="22"/>
        </w:rPr>
      </w:pPr>
      <w:bookmarkStart w:id="17" w:name="_Toc300761891"/>
      <w:bookmarkStart w:id="18" w:name="_Toc300933420"/>
      <w:bookmarkStart w:id="19" w:name="_Toc370223466"/>
      <w:r w:rsidRPr="006B1FDB">
        <w:rPr>
          <w:szCs w:val="22"/>
        </w:rPr>
        <w:t xml:space="preserve">LANXESS Deutschland GmbH is a company whose core business is the development, manufacture and marketing of chemical intermediates, additives, specialty chemicals and plastics. </w:t>
      </w:r>
      <w:r w:rsidRPr="00772F97">
        <w:rPr>
          <w:szCs w:val="22"/>
        </w:rPr>
        <w:t xml:space="preserve"> </w:t>
      </w:r>
    </w:p>
    <w:p w14:paraId="74F19653" w14:textId="7F891B72" w:rsidR="007A53BF" w:rsidRPr="007A53BF" w:rsidRDefault="007A53BF" w:rsidP="00CE59AA">
      <w:pPr>
        <w:pStyle w:val="Heading2"/>
      </w:pPr>
      <w:bookmarkStart w:id="20" w:name="_Toc53137941"/>
      <w:r w:rsidRPr="007A53BF">
        <w:t>1.2</w:t>
      </w:r>
      <w:r w:rsidRPr="007A53BF">
        <w:tab/>
        <w:t xml:space="preserve">The </w:t>
      </w:r>
      <w:r w:rsidRPr="001C7D39">
        <w:t>Application</w:t>
      </w:r>
      <w:bookmarkEnd w:id="17"/>
      <w:bookmarkEnd w:id="18"/>
      <w:bookmarkEnd w:id="19"/>
      <w:bookmarkEnd w:id="20"/>
    </w:p>
    <w:p w14:paraId="18238E2E" w14:textId="66F89097" w:rsidR="00D90705" w:rsidRDefault="00D90705" w:rsidP="00D90705">
      <w:pPr>
        <w:rPr>
          <w:lang w:eastAsia="en-AU" w:bidi="ar-SA"/>
        </w:rPr>
      </w:pPr>
      <w:bookmarkStart w:id="21" w:name="_Toc300761892"/>
      <w:bookmarkStart w:id="22" w:name="_Toc300933421"/>
      <w:bookmarkStart w:id="23" w:name="_Toc370223467"/>
      <w:r>
        <w:rPr>
          <w:lang w:eastAsia="en-AU" w:bidi="ar-SA"/>
        </w:rPr>
        <w:t xml:space="preserve">The purpose of the application is to amend the </w:t>
      </w:r>
      <w:r w:rsidR="00DB41DB" w:rsidRPr="004E4594">
        <w:rPr>
          <w:i/>
          <w:lang w:bidi="ar-SA"/>
        </w:rPr>
        <w:t>Australia New Zealand Food Standards Code</w:t>
      </w:r>
      <w:r w:rsidR="00DB41DB" w:rsidRPr="00C70C12">
        <w:rPr>
          <w:lang w:bidi="ar-SA"/>
        </w:rPr>
        <w:t xml:space="preserve"> (</w:t>
      </w:r>
      <w:r w:rsidR="00256554">
        <w:rPr>
          <w:lang w:bidi="ar-SA"/>
        </w:rPr>
        <w:t xml:space="preserve">the </w:t>
      </w:r>
      <w:r>
        <w:rPr>
          <w:lang w:eastAsia="en-AU" w:bidi="ar-SA"/>
        </w:rPr>
        <w:t>Code</w:t>
      </w:r>
      <w:r w:rsidR="00256554">
        <w:rPr>
          <w:lang w:eastAsia="en-AU" w:bidi="ar-SA"/>
        </w:rPr>
        <w:t>)</w:t>
      </w:r>
      <w:r>
        <w:rPr>
          <w:lang w:eastAsia="en-AU" w:bidi="ar-SA"/>
        </w:rPr>
        <w:t xml:space="preserve"> to permit </w:t>
      </w:r>
      <w:r w:rsidRPr="00844890">
        <w:t xml:space="preserve">the use of long-chain glycolipids from </w:t>
      </w:r>
      <w:r w:rsidRPr="00844890">
        <w:rPr>
          <w:i/>
        </w:rPr>
        <w:t>Dacryopinax spathularia</w:t>
      </w:r>
      <w:r>
        <w:rPr>
          <w:lang w:eastAsia="en-AU" w:bidi="ar-SA"/>
        </w:rPr>
        <w:t xml:space="preserve"> (</w:t>
      </w:r>
      <w:r w:rsidR="00B17C2E">
        <w:rPr>
          <w:lang w:eastAsia="en-AU" w:bidi="ar-SA"/>
        </w:rPr>
        <w:t>known as ‘j</w:t>
      </w:r>
      <w:r>
        <w:rPr>
          <w:lang w:eastAsia="en-AU" w:bidi="ar-SA"/>
        </w:rPr>
        <w:t>elly mushroom glycolipids</w:t>
      </w:r>
      <w:r w:rsidR="00B17C2E">
        <w:rPr>
          <w:lang w:eastAsia="en-AU" w:bidi="ar-SA"/>
        </w:rPr>
        <w:t>’ or ‘</w:t>
      </w:r>
      <w:r w:rsidR="00B17C2E">
        <w:t>s</w:t>
      </w:r>
      <w:r w:rsidR="00B17C2E" w:rsidRPr="00CF5474">
        <w:t xml:space="preserve">weet </w:t>
      </w:r>
      <w:r w:rsidR="00B17C2E">
        <w:t>o</w:t>
      </w:r>
      <w:r w:rsidR="00B17C2E" w:rsidRPr="00CF5474">
        <w:t xml:space="preserve">smanthus </w:t>
      </w:r>
      <w:r w:rsidR="00B17C2E">
        <w:t>e</w:t>
      </w:r>
      <w:r w:rsidR="00B17C2E" w:rsidRPr="00CF5474">
        <w:t>ar</w:t>
      </w:r>
      <w:r w:rsidR="00B17C2E">
        <w:t xml:space="preserve"> glycolipids’</w:t>
      </w:r>
      <w:r>
        <w:rPr>
          <w:lang w:eastAsia="en-AU" w:bidi="ar-SA"/>
        </w:rPr>
        <w:t xml:space="preserve">) as a food additive for the purposes of preserving non-alcoholic beverages. The application </w:t>
      </w:r>
      <w:r w:rsidR="001C7D39">
        <w:rPr>
          <w:lang w:eastAsia="en-AU" w:bidi="ar-SA"/>
        </w:rPr>
        <w:t xml:space="preserve">sought </w:t>
      </w:r>
      <w:r>
        <w:rPr>
          <w:lang w:eastAsia="en-AU" w:bidi="ar-SA"/>
        </w:rPr>
        <w:t xml:space="preserve">permission for jelly mushroom glycolipids at </w:t>
      </w:r>
      <w:r w:rsidR="001B21E1">
        <w:rPr>
          <w:lang w:eastAsia="en-AU" w:bidi="ar-SA"/>
        </w:rPr>
        <w:t xml:space="preserve">specific </w:t>
      </w:r>
      <w:r w:rsidR="00856682">
        <w:rPr>
          <w:lang w:eastAsia="en-AU" w:bidi="ar-SA"/>
        </w:rPr>
        <w:t xml:space="preserve">maximum permitted </w:t>
      </w:r>
      <w:r>
        <w:rPr>
          <w:lang w:eastAsia="en-AU" w:bidi="ar-SA"/>
        </w:rPr>
        <w:t>levels ranging between 2 to 100 mg/kg for different non-alcoholic beverage categories</w:t>
      </w:r>
      <w:r>
        <w:rPr>
          <w:rStyle w:val="FootnoteReference"/>
          <w:lang w:eastAsia="en-AU" w:bidi="ar-SA"/>
        </w:rPr>
        <w:footnoteReference w:id="2"/>
      </w:r>
      <w:r>
        <w:rPr>
          <w:lang w:eastAsia="en-AU" w:bidi="ar-SA"/>
        </w:rPr>
        <w:t xml:space="preserve">. </w:t>
      </w:r>
    </w:p>
    <w:p w14:paraId="27123F0C" w14:textId="77777777" w:rsidR="00D90705" w:rsidRDefault="00D90705" w:rsidP="00D90705">
      <w:pPr>
        <w:rPr>
          <w:lang w:eastAsia="en-AU" w:bidi="ar-SA"/>
        </w:rPr>
      </w:pPr>
    </w:p>
    <w:p w14:paraId="02097C04" w14:textId="0DCEB6E5" w:rsidR="00D90705" w:rsidRPr="00772F97" w:rsidRDefault="00D90705" w:rsidP="00D90705">
      <w:r>
        <w:rPr>
          <w:lang w:eastAsia="en-AU" w:bidi="ar-SA"/>
        </w:rPr>
        <w:t xml:space="preserve">Jelly mushroom </w:t>
      </w:r>
      <w:r w:rsidR="00F10F6D">
        <w:rPr>
          <w:lang w:eastAsia="en-AU" w:bidi="ar-SA"/>
        </w:rPr>
        <w:t xml:space="preserve">glycolipids </w:t>
      </w:r>
      <w:r>
        <w:t>are considered by the applicant to have</w:t>
      </w:r>
      <w:r w:rsidRPr="00844890">
        <w:t xml:space="preserve"> antifungal effects against common yeasts</w:t>
      </w:r>
      <w:r>
        <w:t>,</w:t>
      </w:r>
      <w:r w:rsidRPr="00844890">
        <w:t xml:space="preserve"> moulds </w:t>
      </w:r>
      <w:r>
        <w:t xml:space="preserve">as well as antimicrobial effects against bacteria, </w:t>
      </w:r>
      <w:r w:rsidRPr="00844890">
        <w:t>and can be used to prolong</w:t>
      </w:r>
      <w:r>
        <w:t xml:space="preserve"> the</w:t>
      </w:r>
      <w:r w:rsidRPr="00844890">
        <w:t xml:space="preserve"> shelf life</w:t>
      </w:r>
      <w:r>
        <w:t xml:space="preserve"> of non-alcoholic beverages. They may be used as an alternative in some instances to existing preservatives, as well as being used alongside existing production practices (e.g. heat treatment) to preserve beverages. </w:t>
      </w:r>
    </w:p>
    <w:p w14:paraId="52B25BCE" w14:textId="4E29A82E" w:rsidR="007A53BF" w:rsidRPr="007A53BF" w:rsidRDefault="007A53BF" w:rsidP="00CE59AA">
      <w:pPr>
        <w:pStyle w:val="Heading2"/>
      </w:pPr>
      <w:bookmarkStart w:id="24" w:name="_Toc53137942"/>
      <w:r w:rsidRPr="007A53BF">
        <w:t>1.3</w:t>
      </w:r>
      <w:r w:rsidRPr="007A53BF">
        <w:tab/>
        <w:t>The current Standard</w:t>
      </w:r>
      <w:bookmarkEnd w:id="21"/>
      <w:bookmarkEnd w:id="22"/>
      <w:bookmarkEnd w:id="23"/>
      <w:r w:rsidR="0020373D">
        <w:t>s</w:t>
      </w:r>
      <w:bookmarkEnd w:id="24"/>
    </w:p>
    <w:p w14:paraId="0447DC2A" w14:textId="77777777" w:rsidR="00C11502" w:rsidRPr="0089406C" w:rsidRDefault="00C11502" w:rsidP="00C11502">
      <w:pPr>
        <w:rPr>
          <w:rFonts w:ascii="Calibri" w:hAnsi="Calibri"/>
          <w:szCs w:val="22"/>
          <w:lang w:bidi="ar-SA"/>
        </w:rPr>
      </w:pPr>
      <w:bookmarkStart w:id="25" w:name="_Toc286391007"/>
      <w:bookmarkStart w:id="26" w:name="_Toc300933423"/>
      <w:bookmarkStart w:id="27" w:name="_Toc370223468"/>
      <w:bookmarkStart w:id="28" w:name="_Toc175381432"/>
      <w:r>
        <w:t>Australian and New Zealand food laws require food for sale to comply with the following Code requirements.</w:t>
      </w:r>
    </w:p>
    <w:p w14:paraId="53D5FAD8" w14:textId="77777777" w:rsidR="00C11502" w:rsidRPr="0089406C" w:rsidRDefault="00C11502" w:rsidP="00C11502">
      <w:pPr>
        <w:pStyle w:val="Heading3"/>
      </w:pPr>
      <w:bookmarkStart w:id="29" w:name="_Toc45114289"/>
      <w:bookmarkStart w:id="30" w:name="_Toc45480659"/>
      <w:bookmarkStart w:id="31" w:name="_Toc53137943"/>
      <w:r>
        <w:t>1.3.1 Permitted use</w:t>
      </w:r>
      <w:bookmarkEnd w:id="29"/>
      <w:bookmarkEnd w:id="30"/>
      <w:bookmarkEnd w:id="31"/>
    </w:p>
    <w:p w14:paraId="5305042A" w14:textId="77777777" w:rsidR="00C11502" w:rsidRDefault="00C11502" w:rsidP="00C11502">
      <w:pPr>
        <w:rPr>
          <w:lang w:eastAsia="en-AU" w:bidi="ar-SA"/>
        </w:rPr>
      </w:pPr>
      <w:r>
        <w:rPr>
          <w:lang w:eastAsia="en-AU" w:bidi="ar-SA"/>
        </w:rPr>
        <w:t xml:space="preserve">Jelly mushroom glycolipids are not currently permitted to be added to non-alcoholic beverages as a food additive – preservative. </w:t>
      </w:r>
    </w:p>
    <w:p w14:paraId="027D94FB" w14:textId="77777777" w:rsidR="00C11502" w:rsidRPr="0089406C" w:rsidRDefault="00C11502" w:rsidP="00C11502">
      <w:pPr>
        <w:pStyle w:val="Heading3"/>
      </w:pPr>
      <w:bookmarkStart w:id="32" w:name="_Toc523922027"/>
      <w:bookmarkStart w:id="33" w:name="_Toc45114290"/>
      <w:bookmarkStart w:id="34" w:name="_Toc45480660"/>
      <w:bookmarkStart w:id="35" w:name="_Toc53137944"/>
      <w:r>
        <w:t xml:space="preserve">1.3.2 </w:t>
      </w:r>
      <w:r w:rsidRPr="0089406C">
        <w:t>Food additive permissions</w:t>
      </w:r>
      <w:bookmarkEnd w:id="32"/>
      <w:bookmarkEnd w:id="33"/>
      <w:bookmarkEnd w:id="34"/>
      <w:bookmarkEnd w:id="35"/>
    </w:p>
    <w:p w14:paraId="26C90CDE" w14:textId="77777777" w:rsidR="00C11502" w:rsidRDefault="00C11502" w:rsidP="00C11502">
      <w:pPr>
        <w:rPr>
          <w:lang w:eastAsia="en-AU" w:bidi="ar-SA"/>
        </w:rPr>
      </w:pPr>
      <w:r>
        <w:rPr>
          <w:lang w:eastAsia="en-AU" w:bidi="ar-SA"/>
        </w:rPr>
        <w:t>Paragraph 1.1.1</w:t>
      </w:r>
      <w:r w:rsidRPr="001D1563">
        <w:t>—</w:t>
      </w:r>
      <w:r>
        <w:rPr>
          <w:lang w:eastAsia="en-AU" w:bidi="ar-SA"/>
        </w:rPr>
        <w:t>10(6)(a) of the Code provides that food for sale cannot contain, as an ingredient or component, a substance ‘used as a food additive’ unless that substance’s use as a food additive is expressly permitted by the Code.</w:t>
      </w:r>
    </w:p>
    <w:p w14:paraId="09FF7686" w14:textId="77777777" w:rsidR="00C11502" w:rsidRDefault="00C11502" w:rsidP="00C11502">
      <w:pPr>
        <w:rPr>
          <w:lang w:eastAsia="en-AU" w:bidi="ar-SA"/>
        </w:rPr>
      </w:pPr>
    </w:p>
    <w:p w14:paraId="28729CF1" w14:textId="77777777" w:rsidR="00C11502" w:rsidRDefault="00C11502" w:rsidP="00C11502">
      <w:pPr>
        <w:rPr>
          <w:lang w:eastAsia="en-AU" w:bidi="ar-SA"/>
        </w:rPr>
      </w:pPr>
      <w:r>
        <w:rPr>
          <w:lang w:eastAsia="en-AU" w:bidi="ar-SA"/>
        </w:rPr>
        <w:t>Section 1.3.1</w:t>
      </w:r>
      <w:r w:rsidRPr="001D1563">
        <w:t>—</w:t>
      </w:r>
      <w:r>
        <w:rPr>
          <w:lang w:eastAsia="en-AU" w:bidi="ar-SA"/>
        </w:rPr>
        <w:t>3 details which substances are permitted to be used as a food additive for the purposes of the Code. The permitted food additives for different food categories are listed in the table to section S15</w:t>
      </w:r>
      <w:r w:rsidRPr="001D1563">
        <w:t>—</w:t>
      </w:r>
      <w:r>
        <w:rPr>
          <w:lang w:eastAsia="en-AU" w:bidi="ar-SA"/>
        </w:rPr>
        <w:t xml:space="preserve">5 of the Code. </w:t>
      </w:r>
    </w:p>
    <w:p w14:paraId="4FFB8E1C" w14:textId="77777777" w:rsidR="00C11502" w:rsidRDefault="00C11502" w:rsidP="00C11502">
      <w:pPr>
        <w:rPr>
          <w:lang w:eastAsia="en-AU" w:bidi="ar-SA"/>
        </w:rPr>
      </w:pPr>
    </w:p>
    <w:p w14:paraId="0087A9BC" w14:textId="34D66296" w:rsidR="00C11502" w:rsidRDefault="00C11502" w:rsidP="00C11502">
      <w:pPr>
        <w:rPr>
          <w:lang w:eastAsia="en-AU" w:bidi="ar-SA"/>
        </w:rPr>
      </w:pPr>
      <w:r>
        <w:rPr>
          <w:lang w:eastAsia="en-AU" w:bidi="ar-SA"/>
        </w:rPr>
        <w:t>Section 1.1.2</w:t>
      </w:r>
      <w:r w:rsidRPr="001D1563">
        <w:t>—</w:t>
      </w:r>
      <w:r>
        <w:rPr>
          <w:lang w:eastAsia="en-AU" w:bidi="ar-SA"/>
        </w:rPr>
        <w:t xml:space="preserve">11 also provides that a substance is ‘used as a food additive’ if it is added to a food to perform one or more technological functions listed in Schedule 14 of the Code and is </w:t>
      </w:r>
      <w:r w:rsidR="00F10F6D" w:rsidRPr="00765835">
        <w:t>one of a number of substances listed in that section. These include a substance identified in the table to section S15</w:t>
      </w:r>
      <w:r w:rsidR="00F10F6D">
        <w:t>—5 as a permitted food additive</w:t>
      </w:r>
      <w:r>
        <w:rPr>
          <w:lang w:eastAsia="en-AU" w:bidi="ar-SA"/>
        </w:rPr>
        <w:t xml:space="preserve">. </w:t>
      </w:r>
    </w:p>
    <w:p w14:paraId="6F873170" w14:textId="77777777" w:rsidR="00C11502" w:rsidRDefault="00C11502" w:rsidP="00C11502">
      <w:pPr>
        <w:rPr>
          <w:lang w:eastAsia="en-AU" w:bidi="ar-SA"/>
        </w:rPr>
      </w:pPr>
    </w:p>
    <w:p w14:paraId="308092F8" w14:textId="77777777" w:rsidR="00C11502" w:rsidRDefault="00C11502" w:rsidP="00C11502">
      <w:pPr>
        <w:rPr>
          <w:lang w:eastAsia="en-AU" w:bidi="ar-SA"/>
        </w:rPr>
      </w:pPr>
      <w:r>
        <w:rPr>
          <w:lang w:eastAsia="en-AU" w:bidi="ar-SA"/>
        </w:rPr>
        <w:t>Schedule 14 lists the permitted technological purposes of food additives. The table to section S14</w:t>
      </w:r>
      <w:r w:rsidRPr="001D1563">
        <w:t>—</w:t>
      </w:r>
      <w:r>
        <w:rPr>
          <w:lang w:eastAsia="en-AU" w:bidi="ar-SA"/>
        </w:rPr>
        <w:t>2 provides that use as a preservative is a permitted technological purpose.</w:t>
      </w:r>
    </w:p>
    <w:p w14:paraId="1AE4B703" w14:textId="77777777" w:rsidR="00E51B87" w:rsidRDefault="00E51B87" w:rsidP="00C11502">
      <w:pPr>
        <w:rPr>
          <w:lang w:eastAsia="en-AU" w:bidi="ar-SA"/>
        </w:rPr>
      </w:pPr>
    </w:p>
    <w:p w14:paraId="5353A688" w14:textId="77777777" w:rsidR="00E51B87" w:rsidRPr="00765835" w:rsidRDefault="00E51B87" w:rsidP="00E51B87">
      <w:r w:rsidRPr="00765835">
        <w:t xml:space="preserve">Schedules 15 and 16 list the specific food additive permissions for different categories of food products. </w:t>
      </w:r>
    </w:p>
    <w:p w14:paraId="3EB18778" w14:textId="77777777" w:rsidR="00E51B87" w:rsidRDefault="00E51B87" w:rsidP="00C11502">
      <w:pPr>
        <w:rPr>
          <w:lang w:eastAsia="en-AU" w:bidi="ar-SA"/>
        </w:rPr>
      </w:pPr>
    </w:p>
    <w:p w14:paraId="4F930E15" w14:textId="755C8948" w:rsidR="00C11502" w:rsidRDefault="00856682" w:rsidP="00C11502">
      <w:pPr>
        <w:rPr>
          <w:lang w:bidi="ar-SA"/>
        </w:rPr>
      </w:pPr>
      <w:r>
        <w:rPr>
          <w:lang w:eastAsia="en-AU" w:bidi="ar-SA"/>
        </w:rPr>
        <w:t>For the purposes of this application, the following items in the table to section S15</w:t>
      </w:r>
      <w:r w:rsidRPr="001D1563">
        <w:t>—</w:t>
      </w:r>
      <w:r>
        <w:rPr>
          <w:lang w:eastAsia="en-AU" w:bidi="ar-SA"/>
        </w:rPr>
        <w:t xml:space="preserve">5 are relevant. </w:t>
      </w:r>
      <w:r w:rsidR="00C11502">
        <w:rPr>
          <w:lang w:eastAsia="en-AU" w:bidi="ar-SA"/>
        </w:rPr>
        <w:t xml:space="preserve">Item 14.1.2 lists the permitted food additives for </w:t>
      </w:r>
      <w:r w:rsidR="00C11502" w:rsidRPr="0089406C">
        <w:rPr>
          <w:lang w:eastAsia="en-AU" w:bidi="ar-SA"/>
        </w:rPr>
        <w:t>Fruit and vegetable juices and fruit and vegetable juice products</w:t>
      </w:r>
      <w:r w:rsidR="00C11502">
        <w:rPr>
          <w:lang w:eastAsia="en-AU" w:bidi="ar-SA"/>
        </w:rPr>
        <w:t xml:space="preserve">. Item 14.1.3 lists the permitted food additives for </w:t>
      </w:r>
      <w:r w:rsidR="00C11502" w:rsidRPr="00C70C12">
        <w:rPr>
          <w:lang w:bidi="ar-SA"/>
        </w:rPr>
        <w:t>Water based flavoured drinks</w:t>
      </w:r>
      <w:r w:rsidR="00C11502">
        <w:rPr>
          <w:lang w:bidi="ar-SA"/>
        </w:rPr>
        <w:t xml:space="preserve">. </w:t>
      </w:r>
      <w:r w:rsidR="00C11502">
        <w:rPr>
          <w:lang w:eastAsia="en-AU" w:bidi="ar-SA"/>
        </w:rPr>
        <w:t xml:space="preserve">Item 14.1.4 lists the permitted food additives for </w:t>
      </w:r>
      <w:r w:rsidR="00C11502" w:rsidRPr="0089406C">
        <w:rPr>
          <w:lang w:eastAsia="en-AU" w:bidi="ar-SA"/>
        </w:rPr>
        <w:t>Formulated Beverages</w:t>
      </w:r>
      <w:r w:rsidR="00C11502">
        <w:rPr>
          <w:lang w:eastAsia="en-AU" w:bidi="ar-SA"/>
        </w:rPr>
        <w:t xml:space="preserve">. Item 14.1.5 lists the permitted food additives for </w:t>
      </w:r>
      <w:r w:rsidR="00C11502" w:rsidRPr="001070C4">
        <w:rPr>
          <w:lang w:eastAsia="en-AU" w:bidi="ar-SA"/>
        </w:rPr>
        <w:t>Coffee, coffee substitutes, tea, herbal infusions and similar products</w:t>
      </w:r>
      <w:r w:rsidR="00C11502">
        <w:rPr>
          <w:lang w:eastAsia="en-AU" w:bidi="ar-SA"/>
        </w:rPr>
        <w:t xml:space="preserve">. Item 14.2.1 lists the permitted food additives for </w:t>
      </w:r>
      <w:r w:rsidR="00C11502" w:rsidRPr="001070C4">
        <w:rPr>
          <w:lang w:eastAsia="en-AU" w:bidi="ar-SA"/>
        </w:rPr>
        <w:t>Beer and related products</w:t>
      </w:r>
      <w:r w:rsidR="00C11502">
        <w:rPr>
          <w:lang w:eastAsia="en-AU" w:bidi="ar-SA"/>
        </w:rPr>
        <w:t xml:space="preserve"> </w:t>
      </w:r>
      <w:r w:rsidR="00C11502" w:rsidRPr="001070C4">
        <w:rPr>
          <w:lang w:eastAsia="en-AU" w:bidi="ar-SA"/>
        </w:rPr>
        <w:t>(including alcoholic beverages that have had the alcohol reduced or removed)</w:t>
      </w:r>
      <w:r w:rsidR="00C11502">
        <w:rPr>
          <w:lang w:eastAsia="en-AU" w:bidi="ar-SA"/>
        </w:rPr>
        <w:t xml:space="preserve">. </w:t>
      </w:r>
    </w:p>
    <w:p w14:paraId="57901B3C" w14:textId="77777777" w:rsidR="00C11502" w:rsidRDefault="00C11502" w:rsidP="00C11502">
      <w:pPr>
        <w:pStyle w:val="Heading3"/>
        <w:ind w:left="0" w:firstLine="0"/>
      </w:pPr>
      <w:bookmarkStart w:id="36" w:name="_Toc45114291"/>
      <w:bookmarkStart w:id="37" w:name="_Toc45480661"/>
      <w:bookmarkStart w:id="38" w:name="_Toc53137945"/>
      <w:r>
        <w:t>1.3.3 Labelling</w:t>
      </w:r>
      <w:bookmarkEnd w:id="36"/>
      <w:bookmarkEnd w:id="37"/>
      <w:bookmarkEnd w:id="38"/>
    </w:p>
    <w:p w14:paraId="4E71C44F" w14:textId="77777777" w:rsidR="00C11502" w:rsidRDefault="00C11502" w:rsidP="00C11502">
      <w:r>
        <w:t>Paragraph 1.1.1—10(8) of the Code provides that food for sale must comply with all relevant labelling requirements imposed by the Code for that food.</w:t>
      </w:r>
    </w:p>
    <w:p w14:paraId="7D84D9AC" w14:textId="77777777" w:rsidR="00C11502" w:rsidRDefault="00C11502" w:rsidP="00C11502"/>
    <w:p w14:paraId="08DEF505" w14:textId="2FE4F136" w:rsidR="002B75A6" w:rsidRDefault="00C11502" w:rsidP="00C11502">
      <w:r>
        <w:t xml:space="preserve">Standard 1.2.4 of the Code </w:t>
      </w:r>
      <w:r w:rsidR="003D3100">
        <w:t xml:space="preserve">generally </w:t>
      </w:r>
      <w:r>
        <w:t xml:space="preserve">requires </w:t>
      </w:r>
      <w:r w:rsidR="00125BFC">
        <w:t>packaged food</w:t>
      </w:r>
      <w:r>
        <w:t xml:space="preserve"> to be labelled with a statement of ingredients. Subsection 1.2.4—7(1) of that Standard requires food additives to be declared in the statement of ingredients </w:t>
      </w:r>
      <w:r w:rsidR="002B75A6">
        <w:t>by one of the following ways:</w:t>
      </w:r>
    </w:p>
    <w:p w14:paraId="044115C9" w14:textId="77777777" w:rsidR="002B75A6" w:rsidRDefault="002B75A6" w:rsidP="00C11502"/>
    <w:p w14:paraId="4693EC9F" w14:textId="3444E96E" w:rsidR="002B75A6" w:rsidRDefault="002B75A6" w:rsidP="00760C15">
      <w:pPr>
        <w:pStyle w:val="FSBullet1"/>
      </w:pPr>
      <w:r>
        <w:t>if the food additive</w:t>
      </w:r>
      <w:r w:rsidRPr="002B75A6">
        <w:t xml:space="preserve"> can be classified into a class of additives listed in Schedule 7</w:t>
      </w:r>
      <w:r>
        <w:t>—</w:t>
      </w:r>
      <w:r w:rsidR="00C11502">
        <w:t xml:space="preserve">by </w:t>
      </w:r>
      <w:r>
        <w:t xml:space="preserve">referring </w:t>
      </w:r>
      <w:r w:rsidR="00B52A12">
        <w:t xml:space="preserve">to </w:t>
      </w:r>
      <w:r w:rsidR="00544278">
        <w:t>the relevant</w:t>
      </w:r>
      <w:r w:rsidR="00C11502">
        <w:t xml:space="preserve"> class name</w:t>
      </w:r>
      <w:r>
        <w:t>,</w:t>
      </w:r>
      <w:r w:rsidR="00C11502">
        <w:t xml:space="preserve"> followed </w:t>
      </w:r>
      <w:r w:rsidR="00544278">
        <w:t xml:space="preserve">in brackets </w:t>
      </w:r>
      <w:r w:rsidR="00C11502">
        <w:t xml:space="preserve">by the name or code number </w:t>
      </w:r>
      <w:r w:rsidR="00544278">
        <w:t>of the food additive</w:t>
      </w:r>
      <w:r w:rsidRPr="002B75A6">
        <w:t xml:space="preserve"> </w:t>
      </w:r>
      <w:r>
        <w:t>indicated in Schedule</w:t>
      </w:r>
      <w:r w:rsidR="0068355E">
        <w:t xml:space="preserve"> 8</w:t>
      </w:r>
      <w:r>
        <w:t>;</w:t>
      </w:r>
    </w:p>
    <w:p w14:paraId="6C9F868E" w14:textId="6A5B27A3" w:rsidR="00C11502" w:rsidRDefault="002B75A6" w:rsidP="00760C15">
      <w:pPr>
        <w:pStyle w:val="FSBullet1"/>
      </w:pPr>
      <w:r>
        <w:t>otherwise—by referring to</w:t>
      </w:r>
      <w:r w:rsidRPr="002B75A6">
        <w:t xml:space="preserve"> the name of the </w:t>
      </w:r>
      <w:r>
        <w:t>food additiv</w:t>
      </w:r>
      <w:r w:rsidRPr="002B75A6">
        <w:t>e as indicated in Schedule 8</w:t>
      </w:r>
      <w:r w:rsidR="00C11502">
        <w:t>.</w:t>
      </w:r>
    </w:p>
    <w:p w14:paraId="3EF9E528" w14:textId="77777777" w:rsidR="00C11502" w:rsidRDefault="00C11502" w:rsidP="00C11502"/>
    <w:p w14:paraId="13D8F4D8" w14:textId="6FC4CD2A" w:rsidR="00C11502" w:rsidRDefault="00C11502" w:rsidP="00C11502">
      <w:r>
        <w:t xml:space="preserve">Schedule 7 lists </w:t>
      </w:r>
      <w:r w:rsidR="002B75A6">
        <w:t xml:space="preserve">prescribed and optional </w:t>
      </w:r>
      <w:r>
        <w:t>food additive class names</w:t>
      </w:r>
      <w:r w:rsidR="002B75A6">
        <w:t xml:space="preserve"> </w:t>
      </w:r>
      <w:r w:rsidR="0068355E">
        <w:t>for use</w:t>
      </w:r>
      <w:r w:rsidR="002B75A6" w:rsidRPr="00765835">
        <w:t xml:space="preserve"> in the statement of ingredients</w:t>
      </w:r>
      <w:r>
        <w:t>. ‘Preservative’ is a prescribed class name.</w:t>
      </w:r>
    </w:p>
    <w:p w14:paraId="0535B69F" w14:textId="77777777" w:rsidR="00C11502" w:rsidRDefault="00C11502" w:rsidP="00C11502"/>
    <w:p w14:paraId="78ABB56B" w14:textId="6612784D" w:rsidR="00C11502" w:rsidRDefault="00C11502" w:rsidP="00C11502">
      <w:r>
        <w:t xml:space="preserve">Schedule 8 lists the names and code numbers of food additives that are to be used for labelling purposes. </w:t>
      </w:r>
    </w:p>
    <w:p w14:paraId="6E5BCAE5" w14:textId="77777777" w:rsidR="00C11502" w:rsidRDefault="00C11502" w:rsidP="00C11502"/>
    <w:p w14:paraId="5283AB4D" w14:textId="6666C05A" w:rsidR="00C11502" w:rsidRDefault="00C11502" w:rsidP="00C11502">
      <w:r>
        <w:t xml:space="preserve">Schedule 8 does not refer to </w:t>
      </w:r>
      <w:r w:rsidRPr="00844890">
        <w:t xml:space="preserve">glycolipids from </w:t>
      </w:r>
      <w:r w:rsidRPr="00844890">
        <w:rPr>
          <w:i/>
        </w:rPr>
        <w:t>Dacryopinax spathularia</w:t>
      </w:r>
      <w:r>
        <w:rPr>
          <w:lang w:eastAsia="en-AU" w:bidi="ar-SA"/>
        </w:rPr>
        <w:t xml:space="preserve"> </w:t>
      </w:r>
      <w:r>
        <w:t xml:space="preserve">as this substance is not currently permitted </w:t>
      </w:r>
      <w:r w:rsidR="0068355E">
        <w:t xml:space="preserve">in the Code </w:t>
      </w:r>
      <w:r>
        <w:t>to be added to food as a food additive.</w:t>
      </w:r>
    </w:p>
    <w:p w14:paraId="204F8968" w14:textId="77777777" w:rsidR="00C11502" w:rsidRDefault="00C11502" w:rsidP="00C11502">
      <w:pPr>
        <w:pStyle w:val="Heading3"/>
        <w:ind w:left="0" w:firstLine="0"/>
      </w:pPr>
      <w:bookmarkStart w:id="39" w:name="_Toc45114292"/>
      <w:bookmarkStart w:id="40" w:name="_Toc45480662"/>
      <w:bookmarkStart w:id="41" w:name="_Toc53137946"/>
      <w:r>
        <w:t>1.3.4 Identity and purity requirements</w:t>
      </w:r>
      <w:bookmarkEnd w:id="39"/>
      <w:bookmarkEnd w:id="40"/>
      <w:bookmarkEnd w:id="41"/>
    </w:p>
    <w:p w14:paraId="4998DB81" w14:textId="63BBB757" w:rsidR="00C11502" w:rsidRDefault="00C11502" w:rsidP="003D2704">
      <w:r>
        <w:t>Food additives permitted by section 1.3.1 and Schedule 15</w:t>
      </w:r>
      <w:r w:rsidRPr="00CF436C">
        <w:t xml:space="preserve"> must also meet any relevant identity and purity specifications set out in Schedule 3</w:t>
      </w:r>
      <w:r>
        <w:t xml:space="preserve">. </w:t>
      </w:r>
    </w:p>
    <w:p w14:paraId="0829D2FC" w14:textId="77777777" w:rsidR="00C11502" w:rsidRDefault="00C11502" w:rsidP="00C11502">
      <w:pPr>
        <w:pStyle w:val="Heading3"/>
        <w:ind w:left="0" w:firstLine="0"/>
      </w:pPr>
      <w:bookmarkStart w:id="42" w:name="_Toc53137947"/>
      <w:r>
        <w:t xml:space="preserve">1.3.5 </w:t>
      </w:r>
      <w:r w:rsidRPr="00C5588A">
        <w:t>International standards</w:t>
      </w:r>
      <w:bookmarkEnd w:id="42"/>
    </w:p>
    <w:p w14:paraId="478FCF55" w14:textId="758443AC" w:rsidR="00C11502" w:rsidRDefault="00C11502" w:rsidP="00C11502">
      <w:pPr>
        <w:tabs>
          <w:tab w:val="left" w:pos="993"/>
        </w:tabs>
      </w:pPr>
      <w:r>
        <w:t xml:space="preserve">In developing food regulatory measures, </w:t>
      </w:r>
      <w:r w:rsidR="009035AE">
        <w:t>Food Standards Australia New Zealand (</w:t>
      </w:r>
      <w:r>
        <w:t>FSANZ</w:t>
      </w:r>
      <w:r w:rsidR="009035AE">
        <w:t xml:space="preserve">) </w:t>
      </w:r>
      <w:r>
        <w:t xml:space="preserve"> must have regard to the promotion of consistency between domestic and international food standards. In terms of food safety, the relevant international standard setting body is the Codex Alimentarius Commission (Codex). Standards set by Codex provide a benchmark against which national food measures and regulations can be assessed. In certain situations however, FSANZ might receive an application to amend the Code for permission to use a new food additive before an international standard exists. </w:t>
      </w:r>
    </w:p>
    <w:p w14:paraId="7311DC26" w14:textId="77777777" w:rsidR="00C11502" w:rsidRDefault="00C11502" w:rsidP="00C11502"/>
    <w:p w14:paraId="0F3789B4" w14:textId="77777777" w:rsidR="00C11502" w:rsidRPr="00772F97" w:rsidRDefault="00C11502" w:rsidP="00C11502">
      <w:r>
        <w:t xml:space="preserve">In this circumstance there </w:t>
      </w:r>
      <w:r w:rsidRPr="008D0C7A">
        <w:rPr>
          <w:rFonts w:cs="Arial"/>
        </w:rPr>
        <w:t xml:space="preserve">are no </w:t>
      </w:r>
      <w:r>
        <w:rPr>
          <w:rFonts w:cs="Arial"/>
        </w:rPr>
        <w:t>international</w:t>
      </w:r>
      <w:r w:rsidRPr="008D0C7A">
        <w:rPr>
          <w:rFonts w:cs="Arial"/>
        </w:rPr>
        <w:t xml:space="preserve"> standards concerning the use of </w:t>
      </w:r>
      <w:r>
        <w:rPr>
          <w:rFonts w:cs="Arial"/>
        </w:rPr>
        <w:t>jelly mushroom glycolipids</w:t>
      </w:r>
      <w:r w:rsidRPr="008D0C7A">
        <w:rPr>
          <w:rFonts w:cs="Arial"/>
        </w:rPr>
        <w:t xml:space="preserve"> as a food additive</w:t>
      </w:r>
      <w:r>
        <w:rPr>
          <w:rFonts w:cs="Arial"/>
        </w:rPr>
        <w:t>. However, the substance is currently permitted for use in the USA</w:t>
      </w:r>
      <w:r w:rsidRPr="00244E3C">
        <w:t xml:space="preserve"> </w:t>
      </w:r>
      <w:r>
        <w:t>where it</w:t>
      </w:r>
      <w:r w:rsidRPr="00AF05C1">
        <w:t xml:space="preserve"> has been determined as Generally Recognized as Safe (GRAS).</w:t>
      </w:r>
    </w:p>
    <w:p w14:paraId="75E79CA8" w14:textId="4179F5F1" w:rsidR="007A53BF" w:rsidRPr="007A53BF" w:rsidRDefault="007A53BF" w:rsidP="00CE59AA">
      <w:pPr>
        <w:pStyle w:val="Heading2"/>
        <w:rPr>
          <w:u w:color="FFFF00"/>
        </w:rPr>
      </w:pPr>
      <w:bookmarkStart w:id="43" w:name="_Toc53137948"/>
      <w:r w:rsidRPr="007A53BF">
        <w:rPr>
          <w:u w:color="FFFF00"/>
        </w:rPr>
        <w:t>1.4</w:t>
      </w:r>
      <w:r w:rsidRPr="007A53BF">
        <w:rPr>
          <w:u w:color="FFFF00"/>
        </w:rPr>
        <w:tab/>
        <w:t xml:space="preserve">Reasons for </w:t>
      </w:r>
      <w:r w:rsidRPr="006A68BF">
        <w:rPr>
          <w:u w:color="FFFF00"/>
        </w:rPr>
        <w:t xml:space="preserve">accepting </w:t>
      </w:r>
      <w:r w:rsidR="006A68BF" w:rsidRPr="006A68BF">
        <w:rPr>
          <w:u w:color="FFFF00"/>
        </w:rPr>
        <w:t>a</w:t>
      </w:r>
      <w:r w:rsidRPr="006A68BF">
        <w:rPr>
          <w:u w:color="FFFF00"/>
        </w:rPr>
        <w:t>pplication</w:t>
      </w:r>
      <w:bookmarkEnd w:id="25"/>
      <w:bookmarkEnd w:id="43"/>
      <w:r w:rsidRPr="006A68BF">
        <w:rPr>
          <w:u w:color="FFFF00"/>
        </w:rPr>
        <w:t xml:space="preserve"> </w:t>
      </w:r>
      <w:bookmarkEnd w:id="26"/>
      <w:bookmarkEnd w:id="27"/>
    </w:p>
    <w:p w14:paraId="1D2B82E0" w14:textId="77777777" w:rsidR="00D90705" w:rsidRPr="000713D4" w:rsidRDefault="00D90705" w:rsidP="00D90705">
      <w:bookmarkStart w:id="44" w:name="_Toc370223469"/>
      <w:bookmarkEnd w:id="28"/>
      <w:r w:rsidRPr="000713D4">
        <w:t>The Application was accepted for assessment because:</w:t>
      </w:r>
      <w:r>
        <w:br/>
      </w:r>
    </w:p>
    <w:p w14:paraId="294891A9" w14:textId="77777777" w:rsidR="00D90705" w:rsidRPr="00ED1AF6" w:rsidRDefault="00D90705" w:rsidP="00760C15">
      <w:pPr>
        <w:pStyle w:val="FSBullet1"/>
      </w:pPr>
      <w:r w:rsidRPr="00ED1AF6">
        <w:t>it complied with the procedural requirements under subsection 22(2)</w:t>
      </w:r>
      <w:r>
        <w:t xml:space="preserve"> of the </w:t>
      </w:r>
      <w:r w:rsidRPr="003D2704">
        <w:rPr>
          <w:i/>
        </w:rPr>
        <w:t>Food Standards Australia New Zealand Act 1991</w:t>
      </w:r>
      <w:r>
        <w:t xml:space="preserve"> (FSANZ Act)</w:t>
      </w:r>
    </w:p>
    <w:p w14:paraId="6008C268" w14:textId="77777777" w:rsidR="00D90705" w:rsidRDefault="00D90705" w:rsidP="00760C15">
      <w:pPr>
        <w:pStyle w:val="FSBullet1"/>
      </w:pPr>
      <w:r w:rsidRPr="00ED1AF6">
        <w:t>it related to a matter that warranted the variation of a food regulatory measure</w:t>
      </w:r>
    </w:p>
    <w:p w14:paraId="4B16EA98" w14:textId="77777777" w:rsidR="00D90705" w:rsidRPr="00FF3F28" w:rsidRDefault="00D90705" w:rsidP="00760C15">
      <w:pPr>
        <w:pStyle w:val="FSBullet1"/>
      </w:pPr>
      <w:r w:rsidRPr="00FF3F28">
        <w:t>it was not so similar to a previous Application for the variation of a food regulatory measure that it ought to be rejected.</w:t>
      </w:r>
    </w:p>
    <w:p w14:paraId="45CE9FCF" w14:textId="77777777" w:rsidR="007A53BF" w:rsidRPr="007A53BF" w:rsidRDefault="007A53BF" w:rsidP="00CE59AA">
      <w:pPr>
        <w:pStyle w:val="Heading2"/>
      </w:pPr>
      <w:bookmarkStart w:id="45" w:name="_Toc53137949"/>
      <w:r w:rsidRPr="007A53BF">
        <w:t>1.5</w:t>
      </w:r>
      <w:r w:rsidRPr="007A53BF">
        <w:tab/>
        <w:t>Procedure for assessment</w:t>
      </w:r>
      <w:bookmarkEnd w:id="44"/>
      <w:bookmarkEnd w:id="45"/>
    </w:p>
    <w:p w14:paraId="22D59933" w14:textId="7017FE13" w:rsidR="00AF397D" w:rsidRDefault="00AF397D" w:rsidP="00AF397D">
      <w:r w:rsidRPr="006A68BF">
        <w:t xml:space="preserve">The </w:t>
      </w:r>
      <w:r w:rsidR="006A68BF" w:rsidRPr="006A68BF">
        <w:t>a</w:t>
      </w:r>
      <w:r w:rsidRPr="006A68BF">
        <w:t xml:space="preserve">pplication was assessed under the </w:t>
      </w:r>
      <w:r w:rsidR="0020373D" w:rsidRPr="006A68BF">
        <w:t>General</w:t>
      </w:r>
      <w:r w:rsidRPr="006A68BF">
        <w:t xml:space="preserve"> Procedure</w:t>
      </w:r>
      <w:r w:rsidRPr="00932F14">
        <w:t>.</w:t>
      </w:r>
    </w:p>
    <w:p w14:paraId="7762FA90" w14:textId="77777777" w:rsidR="00422EC9" w:rsidRDefault="007A53BF" w:rsidP="00422EC9">
      <w:pPr>
        <w:pStyle w:val="Heading2"/>
      </w:pPr>
      <w:bookmarkStart w:id="46" w:name="_Toc53137950"/>
      <w:r>
        <w:t>1</w:t>
      </w:r>
      <w:r w:rsidR="00422EC9">
        <w:t>.6</w:t>
      </w:r>
      <w:r w:rsidR="00422EC9">
        <w:tab/>
      </w:r>
      <w:r w:rsidR="00422EC9" w:rsidRPr="00932F14">
        <w:t>Decision</w:t>
      </w:r>
      <w:bookmarkEnd w:id="46"/>
    </w:p>
    <w:p w14:paraId="77DC7354" w14:textId="79C9681D" w:rsidR="00457997" w:rsidRDefault="00422EC9" w:rsidP="002C1A3B">
      <w:r>
        <w:t xml:space="preserve">The draft </w:t>
      </w:r>
      <w:r w:rsidR="00C11502" w:rsidRPr="006A68BF">
        <w:t>variation</w:t>
      </w:r>
      <w:r w:rsidRPr="006A68BF">
        <w:t xml:space="preserve"> a</w:t>
      </w:r>
      <w:r>
        <w:t xml:space="preserve">s proposed following assessment </w:t>
      </w:r>
      <w:r w:rsidR="002E6BEE">
        <w:t xml:space="preserve">and </w:t>
      </w:r>
      <w:r w:rsidR="00B17C2E">
        <w:t>in</w:t>
      </w:r>
      <w:r w:rsidR="002E6BEE">
        <w:t xml:space="preserve"> the </w:t>
      </w:r>
      <w:r w:rsidR="00B17C2E">
        <w:t>call for submissions</w:t>
      </w:r>
      <w:r w:rsidR="002E6BEE">
        <w:t xml:space="preserve"> </w:t>
      </w:r>
      <w:r>
        <w:t xml:space="preserve">was </w:t>
      </w:r>
      <w:r w:rsidR="00B17C2E">
        <w:t xml:space="preserve">approved with one amendment. The amendment was to </w:t>
      </w:r>
      <w:r w:rsidR="00B17C2E">
        <w:rPr>
          <w:rFonts w:eastAsia="Calibri"/>
        </w:rPr>
        <w:t xml:space="preserve">change the references </w:t>
      </w:r>
      <w:r w:rsidR="00B17C2E">
        <w:t xml:space="preserve">in the draft variation </w:t>
      </w:r>
      <w:r w:rsidR="00B17C2E">
        <w:rPr>
          <w:rFonts w:eastAsia="Calibri"/>
        </w:rPr>
        <w:t xml:space="preserve">to </w:t>
      </w:r>
      <w:r w:rsidR="00B17C2E" w:rsidRPr="00D4718B">
        <w:t xml:space="preserve">jelly mushroom glycolipids” </w:t>
      </w:r>
      <w:r w:rsidR="00B17C2E">
        <w:t>to ‘sweet osmanthus ear glycolipids’. This change was made as the term ‘s</w:t>
      </w:r>
      <w:r w:rsidR="00B17C2E" w:rsidRPr="00CF5474">
        <w:t xml:space="preserve">weet </w:t>
      </w:r>
      <w:r w:rsidR="00B17C2E">
        <w:t>o</w:t>
      </w:r>
      <w:r w:rsidR="00B17C2E" w:rsidRPr="00CF5474">
        <w:t xml:space="preserve">smanthus </w:t>
      </w:r>
      <w:r w:rsidR="00B17C2E">
        <w:t>e</w:t>
      </w:r>
      <w:r w:rsidR="00B17C2E" w:rsidRPr="00CF5474">
        <w:t>ar</w:t>
      </w:r>
      <w:r w:rsidR="00B17C2E">
        <w:t xml:space="preserve"> glycolipids’ was considered a more accurate and appropriate term or descriptor of jelly mushroom glycolipids for Code purposes</w:t>
      </w:r>
      <w:r w:rsidR="00457997">
        <w:t xml:space="preserve">.  </w:t>
      </w:r>
    </w:p>
    <w:p w14:paraId="0DA84F0A" w14:textId="77777777" w:rsidR="00457997" w:rsidRDefault="00457997" w:rsidP="002C1A3B"/>
    <w:p w14:paraId="2B3359A1" w14:textId="6BD5068F" w:rsidR="00401ADE" w:rsidRDefault="00422EC9" w:rsidP="002C1A3B">
      <w:r>
        <w:t xml:space="preserve">The </w:t>
      </w:r>
      <w:r w:rsidR="002C1A3B">
        <w:t xml:space="preserve">approved </w:t>
      </w:r>
      <w:r>
        <w:t xml:space="preserve">draft </w:t>
      </w:r>
      <w:r w:rsidR="00C11502" w:rsidRPr="006A68BF">
        <w:t>variation</w:t>
      </w:r>
      <w:r w:rsidR="00C11502">
        <w:rPr>
          <w:color w:val="FF0000"/>
        </w:rPr>
        <w:t xml:space="preserve"> </w:t>
      </w:r>
      <w:r w:rsidR="005E06C0">
        <w:t xml:space="preserve">is </w:t>
      </w:r>
      <w:r>
        <w:t xml:space="preserve">at </w:t>
      </w:r>
      <w:r w:rsidRPr="007C22CB">
        <w:t>Attachment A.</w:t>
      </w:r>
      <w:r w:rsidR="00C11502">
        <w:t xml:space="preserve"> The variation takes effect on gazettal</w:t>
      </w:r>
      <w:r w:rsidR="00FB53D6">
        <w:t>.</w:t>
      </w:r>
      <w:r w:rsidRPr="007C22CB">
        <w:t xml:space="preserve"> </w:t>
      </w:r>
    </w:p>
    <w:p w14:paraId="6C023DF1" w14:textId="77777777" w:rsidR="00401ADE" w:rsidRDefault="00401ADE" w:rsidP="00401ADE"/>
    <w:p w14:paraId="2D0F3931" w14:textId="77777777" w:rsidR="002C1A3B"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0B6B8474" w14:textId="77777777" w:rsidR="0012388D" w:rsidRDefault="007A53BF" w:rsidP="00755F02">
      <w:pPr>
        <w:pStyle w:val="Heading1"/>
      </w:pPr>
      <w:bookmarkStart w:id="47" w:name="_Toc53137951"/>
      <w:bookmarkStart w:id="48" w:name="_Toc11735630"/>
      <w:bookmarkStart w:id="49" w:name="_Toc29883114"/>
      <w:bookmarkStart w:id="50" w:name="_Toc41906801"/>
      <w:bookmarkStart w:id="51" w:name="_Toc41907548"/>
      <w:bookmarkStart w:id="52" w:name="_Toc120358578"/>
      <w:bookmarkStart w:id="53"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47"/>
    </w:p>
    <w:p w14:paraId="76871BAC" w14:textId="78861594" w:rsidR="007A53BF" w:rsidRPr="006A68BF" w:rsidRDefault="007A53BF" w:rsidP="006A68BF">
      <w:pPr>
        <w:pStyle w:val="Heading2"/>
      </w:pPr>
      <w:bookmarkStart w:id="54" w:name="_Toc300933438"/>
      <w:bookmarkStart w:id="55" w:name="_Toc370223471"/>
      <w:bookmarkStart w:id="56" w:name="_Toc370225386"/>
      <w:bookmarkStart w:id="57" w:name="_Toc53137952"/>
      <w:bookmarkStart w:id="58" w:name="_Toc286391009"/>
      <w:bookmarkStart w:id="59" w:name="_Toc300933425"/>
      <w:bookmarkStart w:id="60" w:name="_Toc309291838"/>
      <w:bookmarkStart w:id="61" w:name="_Toc309385455"/>
      <w:bookmarkStart w:id="62" w:name="_Toc120358583"/>
      <w:bookmarkStart w:id="63" w:name="_Toc175381440"/>
      <w:r w:rsidRPr="002C1A3B">
        <w:t>2.1</w:t>
      </w:r>
      <w:r w:rsidRPr="002C1A3B">
        <w:tab/>
        <w:t xml:space="preserve">Summary of issues raised </w:t>
      </w:r>
      <w:bookmarkEnd w:id="54"/>
      <w:r w:rsidRPr="002C1A3B">
        <w:t>in submissions</w:t>
      </w:r>
      <w:bookmarkEnd w:id="55"/>
      <w:bookmarkEnd w:id="56"/>
      <w:bookmarkEnd w:id="57"/>
    </w:p>
    <w:p w14:paraId="383D91B7" w14:textId="3868DF85" w:rsidR="007A53BF" w:rsidRDefault="006A68BF" w:rsidP="007A53BF">
      <w:r w:rsidRPr="006A68BF">
        <w:t>Four submissions were received in relation to this application</w:t>
      </w:r>
      <w:r w:rsidR="004073A2">
        <w:t xml:space="preserve"> (Table 1)</w:t>
      </w:r>
      <w:r w:rsidRPr="006A68BF">
        <w:t xml:space="preserve">. All four submissions were supportive of the current variation and </w:t>
      </w:r>
      <w:r>
        <w:t>no issues were raised in any submission</w:t>
      </w:r>
      <w:r w:rsidRPr="006A68BF">
        <w:t xml:space="preserve">. </w:t>
      </w:r>
    </w:p>
    <w:p w14:paraId="6C98786C" w14:textId="351378F2" w:rsidR="00B52A12" w:rsidRDefault="00B52A12" w:rsidP="007A53BF"/>
    <w:p w14:paraId="3EC3A589" w14:textId="77777777" w:rsidR="00B52A12" w:rsidRDefault="00B52A12" w:rsidP="00B52A12">
      <w:pPr>
        <w:pStyle w:val="FSTableTitle"/>
        <w:keepNext/>
        <w:widowControl/>
        <w:spacing w:after="120"/>
        <w:rPr>
          <w:rFonts w:cs="Times New Roman"/>
          <w:bCs/>
          <w:i/>
          <w:iCs/>
          <w:szCs w:val="22"/>
          <w:lang w:bidi="ar-SA"/>
        </w:rPr>
      </w:pPr>
      <w:r w:rsidRPr="004F0D5C">
        <w:rPr>
          <w:rFonts w:cs="Times New Roman"/>
          <w:bCs/>
          <w:i/>
          <w:iCs/>
          <w:szCs w:val="22"/>
          <w:lang w:bidi="ar-SA"/>
        </w:rPr>
        <w:t>Table 1: Summary</w:t>
      </w:r>
      <w:r>
        <w:t xml:space="preserve"> </w:t>
      </w:r>
      <w:r w:rsidRPr="004F0D5C">
        <w:rPr>
          <w:rFonts w:cs="Times New Roman"/>
          <w:bCs/>
          <w:i/>
          <w:iCs/>
          <w:szCs w:val="22"/>
          <w:lang w:bidi="ar-SA"/>
        </w:rPr>
        <w:t xml:space="preserve">of </w:t>
      </w:r>
      <w:r>
        <w:rPr>
          <w:rFonts w:cs="Times New Roman"/>
          <w:bCs/>
          <w:i/>
          <w:iCs/>
          <w:szCs w:val="22"/>
          <w:lang w:bidi="ar-SA"/>
        </w:rPr>
        <w:t>submissions</w:t>
      </w:r>
    </w:p>
    <w:tbl>
      <w:tblPr>
        <w:tblStyle w:val="TableGrid"/>
        <w:tblW w:w="8930" w:type="dxa"/>
        <w:jc w:val="center"/>
        <w:tblLayout w:type="fixed"/>
        <w:tblLook w:val="04A0" w:firstRow="1" w:lastRow="0" w:firstColumn="1" w:lastColumn="0" w:noHBand="0" w:noVBand="1"/>
        <w:tblCaption w:val="Summary of submissions"/>
      </w:tblPr>
      <w:tblGrid>
        <w:gridCol w:w="3823"/>
        <w:gridCol w:w="2126"/>
        <w:gridCol w:w="2981"/>
      </w:tblGrid>
      <w:tr w:rsidR="00B52A12" w:rsidRPr="001424A1" w14:paraId="4DBD21CE" w14:textId="77777777" w:rsidTr="004073A2">
        <w:trPr>
          <w:trHeight w:val="680"/>
          <w:tblHeader/>
          <w:jc w:val="center"/>
        </w:trPr>
        <w:tc>
          <w:tcPr>
            <w:tcW w:w="3823" w:type="dxa"/>
            <w:tcBorders>
              <w:bottom w:val="single" w:sz="4" w:space="0" w:color="000000"/>
            </w:tcBorders>
            <w:shd w:val="clear" w:color="auto" w:fill="616571"/>
            <w:vAlign w:val="center"/>
          </w:tcPr>
          <w:p w14:paraId="3B51FC4A" w14:textId="77777777" w:rsidR="00B52A12" w:rsidRPr="001424A1" w:rsidRDefault="00B52A12" w:rsidP="00BF51CE">
            <w:pPr>
              <w:spacing w:after="240"/>
              <w:rPr>
                <w:b/>
                <w:color w:val="FFFFFF" w:themeColor="background1"/>
                <w:sz w:val="20"/>
                <w:szCs w:val="20"/>
              </w:rPr>
            </w:pPr>
            <w:r>
              <w:rPr>
                <w:b/>
                <w:color w:val="FFFFFF" w:themeColor="background1"/>
                <w:sz w:val="20"/>
                <w:szCs w:val="20"/>
              </w:rPr>
              <w:t>Submitter</w:t>
            </w:r>
          </w:p>
        </w:tc>
        <w:tc>
          <w:tcPr>
            <w:tcW w:w="2126" w:type="dxa"/>
            <w:tcBorders>
              <w:bottom w:val="single" w:sz="4" w:space="0" w:color="000000"/>
            </w:tcBorders>
            <w:shd w:val="clear" w:color="auto" w:fill="616571"/>
            <w:vAlign w:val="center"/>
          </w:tcPr>
          <w:p w14:paraId="53486A70" w14:textId="77777777" w:rsidR="00B52A12" w:rsidRPr="001424A1" w:rsidRDefault="00B52A12" w:rsidP="00BF51CE">
            <w:pPr>
              <w:spacing w:after="240"/>
              <w:rPr>
                <w:b/>
                <w:color w:val="FFFFFF" w:themeColor="background1"/>
                <w:sz w:val="20"/>
                <w:szCs w:val="20"/>
              </w:rPr>
            </w:pPr>
            <w:r>
              <w:rPr>
                <w:b/>
                <w:color w:val="FFFFFF" w:themeColor="background1"/>
                <w:sz w:val="20"/>
                <w:szCs w:val="20"/>
              </w:rPr>
              <w:t>Comments</w:t>
            </w:r>
          </w:p>
        </w:tc>
        <w:tc>
          <w:tcPr>
            <w:tcW w:w="2981" w:type="dxa"/>
            <w:tcBorders>
              <w:bottom w:val="single" w:sz="4" w:space="0" w:color="000000"/>
            </w:tcBorders>
            <w:shd w:val="clear" w:color="auto" w:fill="616571"/>
            <w:vAlign w:val="center"/>
          </w:tcPr>
          <w:p w14:paraId="1C283670" w14:textId="77777777" w:rsidR="00B52A12" w:rsidRDefault="00B52A12" w:rsidP="00BF51CE">
            <w:pPr>
              <w:spacing w:after="240"/>
              <w:rPr>
                <w:b/>
                <w:color w:val="FFFFFF" w:themeColor="background1"/>
                <w:sz w:val="20"/>
                <w:szCs w:val="20"/>
              </w:rPr>
            </w:pPr>
            <w:r w:rsidRPr="001424A1">
              <w:rPr>
                <w:b/>
                <w:color w:val="FFFFFF" w:themeColor="background1"/>
                <w:sz w:val="20"/>
                <w:szCs w:val="20"/>
              </w:rPr>
              <w:t>FSANZ response</w:t>
            </w:r>
          </w:p>
        </w:tc>
      </w:tr>
      <w:tr w:rsidR="00B52A12" w:rsidRPr="001424A1" w14:paraId="1B96407F" w14:textId="77777777" w:rsidTr="004073A2">
        <w:trPr>
          <w:jc w:val="center"/>
        </w:trPr>
        <w:tc>
          <w:tcPr>
            <w:tcW w:w="3823" w:type="dxa"/>
            <w:tcBorders>
              <w:bottom w:val="single" w:sz="4" w:space="0" w:color="000000"/>
            </w:tcBorders>
            <w:shd w:val="clear" w:color="auto" w:fill="ECECEC"/>
            <w:vAlign w:val="center"/>
          </w:tcPr>
          <w:p w14:paraId="6BC6C1BC" w14:textId="7DBB5340" w:rsidR="00B52A12" w:rsidRPr="001424A1" w:rsidRDefault="004073A2" w:rsidP="00BF51CE">
            <w:pPr>
              <w:spacing w:after="240"/>
              <w:rPr>
                <w:sz w:val="20"/>
                <w:szCs w:val="20"/>
              </w:rPr>
            </w:pPr>
            <w:r w:rsidRPr="006A68BF">
              <w:t xml:space="preserve">New Zealand Food </w:t>
            </w:r>
            <w:r>
              <w:t xml:space="preserve">and </w:t>
            </w:r>
            <w:r w:rsidRPr="006A68BF">
              <w:t>Grocery Council</w:t>
            </w:r>
          </w:p>
        </w:tc>
        <w:tc>
          <w:tcPr>
            <w:tcW w:w="2126" w:type="dxa"/>
            <w:tcBorders>
              <w:bottom w:val="single" w:sz="4" w:space="0" w:color="000000"/>
            </w:tcBorders>
            <w:shd w:val="clear" w:color="auto" w:fill="ECECEC"/>
            <w:vAlign w:val="center"/>
          </w:tcPr>
          <w:p w14:paraId="43034AB3" w14:textId="352D4C9E" w:rsidR="00B52A12" w:rsidRPr="001424A1" w:rsidRDefault="004073A2" w:rsidP="00BF51CE">
            <w:pPr>
              <w:spacing w:after="240"/>
              <w:rPr>
                <w:sz w:val="20"/>
                <w:szCs w:val="20"/>
              </w:rPr>
            </w:pPr>
            <w:r>
              <w:rPr>
                <w:sz w:val="20"/>
                <w:szCs w:val="20"/>
              </w:rPr>
              <w:t>Supportive</w:t>
            </w:r>
          </w:p>
        </w:tc>
        <w:tc>
          <w:tcPr>
            <w:tcW w:w="2981" w:type="dxa"/>
            <w:tcBorders>
              <w:bottom w:val="single" w:sz="4" w:space="0" w:color="000000"/>
            </w:tcBorders>
            <w:shd w:val="clear" w:color="auto" w:fill="ECECEC"/>
            <w:vAlign w:val="center"/>
          </w:tcPr>
          <w:p w14:paraId="7055832D" w14:textId="7F1D8DC2" w:rsidR="00B52A12" w:rsidRDefault="004073A2" w:rsidP="00BF51CE">
            <w:pPr>
              <w:spacing w:after="240"/>
              <w:rPr>
                <w:sz w:val="20"/>
                <w:szCs w:val="20"/>
              </w:rPr>
            </w:pPr>
            <w:r>
              <w:rPr>
                <w:sz w:val="20"/>
                <w:szCs w:val="20"/>
              </w:rPr>
              <w:t>Noted</w:t>
            </w:r>
          </w:p>
        </w:tc>
      </w:tr>
      <w:tr w:rsidR="00B52A12" w:rsidRPr="001424A1" w14:paraId="12ADDB46" w14:textId="77777777" w:rsidTr="004073A2">
        <w:trPr>
          <w:jc w:val="center"/>
        </w:trPr>
        <w:tc>
          <w:tcPr>
            <w:tcW w:w="3823" w:type="dxa"/>
            <w:tcBorders>
              <w:bottom w:val="single" w:sz="4" w:space="0" w:color="000000"/>
            </w:tcBorders>
            <w:shd w:val="clear" w:color="auto" w:fill="ECECEC"/>
            <w:vAlign w:val="center"/>
          </w:tcPr>
          <w:p w14:paraId="6E351862" w14:textId="79FDBD72" w:rsidR="00B52A12" w:rsidRPr="00A05CB9" w:rsidRDefault="004073A2" w:rsidP="00BF51CE">
            <w:pPr>
              <w:spacing w:after="240"/>
              <w:rPr>
                <w:sz w:val="20"/>
                <w:szCs w:val="20"/>
              </w:rPr>
            </w:pPr>
            <w:r w:rsidRPr="006A68BF">
              <w:t>New Zealand Ministry for Primary Industries</w:t>
            </w:r>
          </w:p>
        </w:tc>
        <w:tc>
          <w:tcPr>
            <w:tcW w:w="2126" w:type="dxa"/>
            <w:tcBorders>
              <w:bottom w:val="single" w:sz="4" w:space="0" w:color="000000"/>
            </w:tcBorders>
            <w:shd w:val="clear" w:color="auto" w:fill="ECECEC"/>
            <w:vAlign w:val="center"/>
          </w:tcPr>
          <w:p w14:paraId="05F5560D" w14:textId="414AB436" w:rsidR="00B52A12" w:rsidRDefault="004073A2" w:rsidP="00BF51CE">
            <w:pPr>
              <w:spacing w:after="240"/>
              <w:rPr>
                <w:sz w:val="20"/>
                <w:szCs w:val="20"/>
              </w:rPr>
            </w:pPr>
            <w:r>
              <w:rPr>
                <w:sz w:val="20"/>
                <w:szCs w:val="20"/>
              </w:rPr>
              <w:t>Supportive</w:t>
            </w:r>
          </w:p>
        </w:tc>
        <w:tc>
          <w:tcPr>
            <w:tcW w:w="2981" w:type="dxa"/>
            <w:tcBorders>
              <w:bottom w:val="single" w:sz="4" w:space="0" w:color="000000"/>
            </w:tcBorders>
            <w:shd w:val="clear" w:color="auto" w:fill="ECECEC"/>
            <w:vAlign w:val="center"/>
          </w:tcPr>
          <w:p w14:paraId="2FF2DA4F" w14:textId="79960D11" w:rsidR="00B52A12" w:rsidRDefault="004073A2" w:rsidP="00BF51CE">
            <w:pPr>
              <w:spacing w:after="240"/>
              <w:rPr>
                <w:sz w:val="20"/>
                <w:szCs w:val="20"/>
              </w:rPr>
            </w:pPr>
            <w:r>
              <w:rPr>
                <w:sz w:val="20"/>
                <w:szCs w:val="20"/>
              </w:rPr>
              <w:t>Noted</w:t>
            </w:r>
          </w:p>
        </w:tc>
      </w:tr>
      <w:tr w:rsidR="00B52A12" w14:paraId="6FC0ACFC" w14:textId="77777777" w:rsidTr="004073A2">
        <w:trPr>
          <w:jc w:val="center"/>
        </w:trPr>
        <w:tc>
          <w:tcPr>
            <w:tcW w:w="3823" w:type="dxa"/>
            <w:shd w:val="clear" w:color="auto" w:fill="auto"/>
            <w:vAlign w:val="center"/>
          </w:tcPr>
          <w:p w14:paraId="32C1C65A" w14:textId="693AA078" w:rsidR="00B52A12" w:rsidRDefault="004073A2" w:rsidP="00BF51CE">
            <w:pPr>
              <w:spacing w:after="240"/>
              <w:rPr>
                <w:sz w:val="20"/>
                <w:szCs w:val="20"/>
              </w:rPr>
            </w:pPr>
            <w:r w:rsidRPr="006A68BF">
              <w:t>Tailored Beverage Company Pty Ltd</w:t>
            </w:r>
          </w:p>
        </w:tc>
        <w:tc>
          <w:tcPr>
            <w:tcW w:w="2126" w:type="dxa"/>
            <w:shd w:val="clear" w:color="auto" w:fill="auto"/>
            <w:vAlign w:val="center"/>
          </w:tcPr>
          <w:p w14:paraId="4EE32DD5" w14:textId="22EA30A5" w:rsidR="00B52A12" w:rsidRDefault="004073A2" w:rsidP="00BF51CE">
            <w:pPr>
              <w:spacing w:after="240"/>
              <w:rPr>
                <w:sz w:val="20"/>
                <w:szCs w:val="20"/>
              </w:rPr>
            </w:pPr>
            <w:r>
              <w:rPr>
                <w:sz w:val="20"/>
                <w:szCs w:val="20"/>
              </w:rPr>
              <w:t>Supportive</w:t>
            </w:r>
          </w:p>
        </w:tc>
        <w:tc>
          <w:tcPr>
            <w:tcW w:w="2981" w:type="dxa"/>
            <w:vAlign w:val="center"/>
          </w:tcPr>
          <w:p w14:paraId="59BE2C91" w14:textId="13721918" w:rsidR="00B52A12" w:rsidRPr="00F4380B" w:rsidRDefault="004073A2" w:rsidP="00BF51CE">
            <w:pPr>
              <w:spacing w:after="240"/>
              <w:rPr>
                <w:sz w:val="20"/>
                <w:szCs w:val="20"/>
                <w:highlight w:val="yellow"/>
              </w:rPr>
            </w:pPr>
            <w:r>
              <w:rPr>
                <w:sz w:val="20"/>
                <w:szCs w:val="20"/>
              </w:rPr>
              <w:t>Noted</w:t>
            </w:r>
          </w:p>
        </w:tc>
      </w:tr>
      <w:tr w:rsidR="004073A2" w14:paraId="5F95C7A7" w14:textId="77777777" w:rsidTr="004073A2">
        <w:trPr>
          <w:jc w:val="center"/>
        </w:trPr>
        <w:tc>
          <w:tcPr>
            <w:tcW w:w="3823" w:type="dxa"/>
            <w:shd w:val="clear" w:color="auto" w:fill="auto"/>
            <w:vAlign w:val="center"/>
          </w:tcPr>
          <w:p w14:paraId="6C499ACA" w14:textId="77777777" w:rsidR="004073A2" w:rsidRDefault="004073A2" w:rsidP="004073A2">
            <w:r w:rsidRPr="006A68BF">
              <w:t xml:space="preserve">Victorian Department of Health and Human Services. </w:t>
            </w:r>
          </w:p>
          <w:p w14:paraId="7773EC2E" w14:textId="77777777" w:rsidR="004073A2" w:rsidRDefault="004073A2" w:rsidP="00BF51CE">
            <w:pPr>
              <w:spacing w:after="240"/>
              <w:rPr>
                <w:sz w:val="20"/>
                <w:szCs w:val="20"/>
              </w:rPr>
            </w:pPr>
          </w:p>
        </w:tc>
        <w:tc>
          <w:tcPr>
            <w:tcW w:w="2126" w:type="dxa"/>
            <w:shd w:val="clear" w:color="auto" w:fill="auto"/>
            <w:vAlign w:val="center"/>
          </w:tcPr>
          <w:p w14:paraId="35389A9F" w14:textId="7215C61C" w:rsidR="004073A2" w:rsidRDefault="004073A2" w:rsidP="00BF51CE">
            <w:pPr>
              <w:spacing w:after="240"/>
              <w:rPr>
                <w:sz w:val="20"/>
                <w:szCs w:val="20"/>
              </w:rPr>
            </w:pPr>
            <w:r>
              <w:rPr>
                <w:sz w:val="20"/>
                <w:szCs w:val="20"/>
              </w:rPr>
              <w:t>Supportive</w:t>
            </w:r>
          </w:p>
        </w:tc>
        <w:tc>
          <w:tcPr>
            <w:tcW w:w="2981" w:type="dxa"/>
            <w:vAlign w:val="center"/>
          </w:tcPr>
          <w:p w14:paraId="57908D9E" w14:textId="1CA55323" w:rsidR="004073A2" w:rsidRDefault="004073A2" w:rsidP="00BF51CE">
            <w:pPr>
              <w:spacing w:after="240"/>
              <w:rPr>
                <w:sz w:val="20"/>
                <w:szCs w:val="20"/>
                <w:highlight w:val="yellow"/>
              </w:rPr>
            </w:pPr>
            <w:r>
              <w:rPr>
                <w:sz w:val="20"/>
                <w:szCs w:val="20"/>
              </w:rPr>
              <w:t>Noted</w:t>
            </w:r>
          </w:p>
        </w:tc>
      </w:tr>
    </w:tbl>
    <w:p w14:paraId="2A3129F8" w14:textId="77777777" w:rsidR="00B17C2E" w:rsidRDefault="00B17C2E" w:rsidP="002E6BEE">
      <w:bookmarkStart w:id="64" w:name="_Toc370223472"/>
      <w:bookmarkStart w:id="65" w:name="_Toc370225387"/>
      <w:bookmarkStart w:id="66" w:name="_Toc53137953"/>
      <w:bookmarkStart w:id="67" w:name="_Toc309291812"/>
      <w:bookmarkStart w:id="68" w:name="_Toc175381442"/>
      <w:bookmarkEnd w:id="58"/>
      <w:bookmarkEnd w:id="59"/>
      <w:bookmarkEnd w:id="60"/>
      <w:bookmarkEnd w:id="61"/>
      <w:bookmarkEnd w:id="62"/>
      <w:bookmarkEnd w:id="63"/>
    </w:p>
    <w:p w14:paraId="148D2A30" w14:textId="43C8A937" w:rsidR="00F02035" w:rsidRDefault="002E6BEE" w:rsidP="002E6BEE">
      <w:r>
        <w:t>The applicant provided a late submission</w:t>
      </w:r>
      <w:r w:rsidR="00F02035">
        <w:t xml:space="preserve"> and three supporting letters from industry</w:t>
      </w:r>
      <w:r>
        <w:t xml:space="preserve"> requesting FSANZ </w:t>
      </w:r>
      <w:r w:rsidR="00B17C2E">
        <w:t>reconsider the use in the draft variation of the term ‘</w:t>
      </w:r>
      <w:r w:rsidR="00B17C2E" w:rsidRPr="00D4718B">
        <w:t>jelly mushroom glycolipids</w:t>
      </w:r>
      <w:r w:rsidR="00B17C2E">
        <w:t xml:space="preserve">’ </w:t>
      </w:r>
      <w:r w:rsidR="00E62078">
        <w:t>. The applicant</w:t>
      </w:r>
      <w:r w:rsidR="00F02035">
        <w:t xml:space="preserve"> </w:t>
      </w:r>
      <w:r w:rsidR="00123B9F">
        <w:t xml:space="preserve">did not support </w:t>
      </w:r>
      <w:r w:rsidR="00B17C2E">
        <w:t>the use of the</w:t>
      </w:r>
      <w:r w:rsidR="00F02035">
        <w:t xml:space="preserve"> term “jelly mushroom” </w:t>
      </w:r>
      <w:r w:rsidR="00123B9F">
        <w:t xml:space="preserve">as it </w:t>
      </w:r>
      <w:r w:rsidR="00E62078">
        <w:t>would not be known to most consumers</w:t>
      </w:r>
      <w:r w:rsidR="00B17C2E">
        <w:t xml:space="preserve">. The applicant and industry </w:t>
      </w:r>
      <w:r w:rsidR="00E62078">
        <w:t xml:space="preserve">proposed </w:t>
      </w:r>
      <w:r w:rsidR="00A12784">
        <w:t>alternative</w:t>
      </w:r>
      <w:r w:rsidR="00E62078">
        <w:t xml:space="preserve"> descriptive terms </w:t>
      </w:r>
      <w:r w:rsidR="00A12784">
        <w:t xml:space="preserve">that could be used instead to describe </w:t>
      </w:r>
      <w:r w:rsidR="00E62078">
        <w:t xml:space="preserve">the nature and type of product more precisely. The two </w:t>
      </w:r>
      <w:r w:rsidR="00A12784">
        <w:t>alternatives</w:t>
      </w:r>
      <w:r w:rsidR="00E62078">
        <w:t xml:space="preserve"> were:</w:t>
      </w:r>
    </w:p>
    <w:p w14:paraId="53060E8C" w14:textId="23889706" w:rsidR="00E62078" w:rsidRDefault="00E62078" w:rsidP="00123B9F">
      <w:pPr>
        <w:pStyle w:val="FSBullet1"/>
      </w:pPr>
      <w:r>
        <w:t xml:space="preserve">Mushroom glycolipids </w:t>
      </w:r>
      <w:r w:rsidR="00A85855">
        <w:t>or</w:t>
      </w:r>
    </w:p>
    <w:p w14:paraId="0B0BE6BE" w14:textId="340C7496" w:rsidR="00E62078" w:rsidRPr="00E62078" w:rsidRDefault="00E62078" w:rsidP="00123B9F">
      <w:pPr>
        <w:pStyle w:val="FSBullet1"/>
      </w:pPr>
      <w:r>
        <w:t>Sweet osmanthus ear glycolipids</w:t>
      </w:r>
      <w:r w:rsidR="00A12784">
        <w:br/>
      </w:r>
    </w:p>
    <w:p w14:paraId="2ECD948A" w14:textId="16A327F8" w:rsidR="002E6BEE" w:rsidRDefault="00A85855" w:rsidP="002E6BEE">
      <w:r>
        <w:t>FSANZ consider</w:t>
      </w:r>
      <w:r w:rsidR="00A12784">
        <w:t>ed</w:t>
      </w:r>
      <w:r>
        <w:t xml:space="preserve"> that “mushroom glycolipids” is too broad a term and would have the effect of granting a permission for glycolipids from all species of mushrooms. “Sweet osmanthis ear glycolipids” provides a more precise description of the source organism</w:t>
      </w:r>
      <w:r w:rsidR="00123B9F">
        <w:t xml:space="preserve"> and</w:t>
      </w:r>
      <w:r w:rsidR="00A12784">
        <w:t>, for that reason,</w:t>
      </w:r>
      <w:r w:rsidR="00123B9F">
        <w:t xml:space="preserve"> FSANZ </w:t>
      </w:r>
      <w:r w:rsidR="00A12784">
        <w:t>amended the draft variation accordingly</w:t>
      </w:r>
      <w:r w:rsidR="00123B9F">
        <w:t>.</w:t>
      </w:r>
    </w:p>
    <w:p w14:paraId="2D0BF99D" w14:textId="2B1DBC4D" w:rsidR="002C1A3B" w:rsidRPr="00932F14" w:rsidRDefault="002C1A3B" w:rsidP="002C1A3B">
      <w:pPr>
        <w:pStyle w:val="Heading2"/>
      </w:pPr>
      <w:r>
        <w:t>2.2</w:t>
      </w:r>
      <w:r>
        <w:tab/>
      </w:r>
      <w:r w:rsidRPr="00932F14">
        <w:t xml:space="preserve">Risk </w:t>
      </w:r>
      <w:r>
        <w:t>a</w:t>
      </w:r>
      <w:r w:rsidRPr="00932F14">
        <w:t>ssessment</w:t>
      </w:r>
      <w:bookmarkEnd w:id="64"/>
      <w:bookmarkEnd w:id="65"/>
      <w:bookmarkEnd w:id="66"/>
      <w:r w:rsidRPr="00932F14">
        <w:t xml:space="preserve"> </w:t>
      </w:r>
    </w:p>
    <w:p w14:paraId="1F1E51E6" w14:textId="6357E167" w:rsidR="00C11502" w:rsidRDefault="00C11502" w:rsidP="00C11502">
      <w:pPr>
        <w:pStyle w:val="Heading3"/>
      </w:pPr>
      <w:bookmarkStart w:id="69" w:name="_Toc45114297"/>
      <w:bookmarkStart w:id="70" w:name="_Toc45480667"/>
      <w:bookmarkStart w:id="71" w:name="_Toc53137954"/>
      <w:bookmarkStart w:id="72" w:name="_Toc521059510"/>
      <w:bookmarkStart w:id="73" w:name="_Toc521053092"/>
      <w:bookmarkStart w:id="74" w:name="_Toc523922010"/>
      <w:bookmarkStart w:id="75" w:name="_Toc370223473"/>
      <w:bookmarkStart w:id="76" w:name="_Toc370225388"/>
      <w:bookmarkStart w:id="77" w:name="_Toc175381450"/>
      <w:bookmarkEnd w:id="67"/>
      <w:bookmarkEnd w:id="68"/>
      <w:r>
        <w:t>2.2.1 Food technology assessment</w:t>
      </w:r>
      <w:bookmarkEnd w:id="69"/>
      <w:bookmarkEnd w:id="70"/>
      <w:bookmarkEnd w:id="71"/>
      <w:r>
        <w:t xml:space="preserve"> </w:t>
      </w:r>
      <w:bookmarkEnd w:id="72"/>
      <w:bookmarkEnd w:id="73"/>
      <w:bookmarkEnd w:id="74"/>
    </w:p>
    <w:p w14:paraId="6938B8B2" w14:textId="09F614C7" w:rsidR="00C11502" w:rsidRPr="000D50F4" w:rsidRDefault="00C11502" w:rsidP="00C11502">
      <w:pPr>
        <w:spacing w:after="120"/>
        <w:rPr>
          <w:rFonts w:ascii="Calibri" w:hAnsi="Calibri"/>
          <w:sz w:val="20"/>
          <w:lang w:eastAsia="en-AU" w:bidi="ar-SA"/>
        </w:rPr>
      </w:pPr>
      <w:r>
        <w:t>FSANZ concluded</w:t>
      </w:r>
      <w:r w:rsidRPr="00704050">
        <w:t xml:space="preserve"> that the use of jelly mushroom glycolipids when used as a food additive for preservative purposes is justified. It may serve as an alternative to existing permitted preservatives, or be used in addition to beverage production methods used to reduce spoilage from yeasts</w:t>
      </w:r>
      <w:r>
        <w:t>,</w:t>
      </w:r>
      <w:r w:rsidRPr="00704050">
        <w:t xml:space="preserve"> moulds</w:t>
      </w:r>
      <w:r w:rsidRPr="00ED3920">
        <w:t xml:space="preserve"> </w:t>
      </w:r>
      <w:r>
        <w:t xml:space="preserve">and bacteria. </w:t>
      </w:r>
      <w:r w:rsidR="003E448D">
        <w:t>T</w:t>
      </w:r>
      <w:r>
        <w:t xml:space="preserve">here </w:t>
      </w:r>
      <w:r w:rsidR="003E448D">
        <w:t>is</w:t>
      </w:r>
      <w:r w:rsidR="003E448D" w:rsidRPr="00704050">
        <w:t xml:space="preserve"> </w:t>
      </w:r>
      <w:r w:rsidRPr="00704050">
        <w:t>no specification for jelly mushroom gly</w:t>
      </w:r>
      <w:r>
        <w:t xml:space="preserve">colipids in the Code. </w:t>
      </w:r>
      <w:r w:rsidR="003E448D">
        <w:t>The approved draft variation includes</w:t>
      </w:r>
      <w:r>
        <w:t xml:space="preserve"> a</w:t>
      </w:r>
      <w:r w:rsidRPr="00704050">
        <w:t xml:space="preserve"> specification </w:t>
      </w:r>
      <w:r w:rsidR="00E953C3">
        <w:t xml:space="preserve">for </w:t>
      </w:r>
      <w:r w:rsidR="003E448D" w:rsidRPr="00704050">
        <w:t xml:space="preserve">jelly mushroom glycolipids </w:t>
      </w:r>
      <w:r w:rsidRPr="00704050">
        <w:t>based on the identification and purity data</w:t>
      </w:r>
      <w:r w:rsidR="003E448D">
        <w:t xml:space="preserve"> reviewed</w:t>
      </w:r>
      <w:r w:rsidRPr="00704050">
        <w:t xml:space="preserve">.  </w:t>
      </w:r>
    </w:p>
    <w:p w14:paraId="40128431" w14:textId="333FB9A8" w:rsidR="00C11502" w:rsidRDefault="00C11502" w:rsidP="00C11502">
      <w:pPr>
        <w:pStyle w:val="Heading3"/>
      </w:pPr>
      <w:bookmarkStart w:id="78" w:name="_Toc45114298"/>
      <w:bookmarkStart w:id="79" w:name="_Toc45480668"/>
      <w:bookmarkStart w:id="80" w:name="_Toc53137955"/>
      <w:r>
        <w:t>2.2.2 Microbiological assessment</w:t>
      </w:r>
      <w:bookmarkEnd w:id="78"/>
      <w:bookmarkEnd w:id="79"/>
      <w:bookmarkEnd w:id="80"/>
      <w:r>
        <w:t xml:space="preserve"> </w:t>
      </w:r>
    </w:p>
    <w:p w14:paraId="21662B7D" w14:textId="631754DA" w:rsidR="00C11502" w:rsidRPr="000D50F4" w:rsidRDefault="00C11502" w:rsidP="00C11502">
      <w:r w:rsidRPr="006F72C9">
        <w:t>The exact mechanism for the mode of action for</w:t>
      </w:r>
      <w:r>
        <w:t xml:space="preserve"> the jelly mushroom</w:t>
      </w:r>
      <w:r w:rsidRPr="006F72C9">
        <w:t xml:space="preserve"> glycolipids has not been established. </w:t>
      </w:r>
      <w:r>
        <w:t>However, t</w:t>
      </w:r>
      <w:r w:rsidRPr="006F72C9">
        <w:t xml:space="preserve">he results of </w:t>
      </w:r>
      <w:r w:rsidRPr="002A1681">
        <w:rPr>
          <w:i/>
        </w:rPr>
        <w:t>in vitro</w:t>
      </w:r>
      <w:r w:rsidRPr="006F72C9">
        <w:t xml:space="preserve"> studies suggest that the surfactant properties</w:t>
      </w:r>
      <w:r>
        <w:t xml:space="preserve"> of these </w:t>
      </w:r>
      <w:r w:rsidRPr="006F72C9">
        <w:t xml:space="preserve">glycolipids alter the cytoplasmic membrane leading to increased permeability. The metabolism of the cells is affected </w:t>
      </w:r>
      <w:r>
        <w:t>leading to</w:t>
      </w:r>
      <w:r w:rsidRPr="006F72C9">
        <w:t xml:space="preserve"> cell death.</w:t>
      </w:r>
      <w:r>
        <w:t xml:space="preserve"> Results of </w:t>
      </w:r>
      <w:r w:rsidRPr="00B72BF6">
        <w:rPr>
          <w:i/>
        </w:rPr>
        <w:t>in vitro</w:t>
      </w:r>
      <w:r>
        <w:t xml:space="preserve"> studies suggest that there are important differences in the response of microorganisms to jelly mushroom glycolipids. Gram-negative bacteria are the most resistant, followed by Gram-positive bacteria. Challenge studies using defined mixtures of yeasts and moulds highlighted differences between non-alcoholic beverage types. </w:t>
      </w:r>
      <w:r w:rsidRPr="0068302F">
        <w:t>FSANZ concludes that the addition of jelly mushroom glycolipids at the proposed use levels is effective as a preservative against yeasts and moulds in non-alcoholic beverages.</w:t>
      </w:r>
    </w:p>
    <w:p w14:paraId="679F0C29" w14:textId="531D6D81" w:rsidR="00C11502" w:rsidRDefault="00C11502" w:rsidP="00C11502">
      <w:pPr>
        <w:pStyle w:val="Heading3"/>
      </w:pPr>
      <w:bookmarkStart w:id="81" w:name="_Toc45114299"/>
      <w:bookmarkStart w:id="82" w:name="_Toc45480669"/>
      <w:bookmarkStart w:id="83" w:name="_Toc53137956"/>
      <w:bookmarkStart w:id="84" w:name="_Toc521059511"/>
      <w:bookmarkStart w:id="85" w:name="_Toc521053093"/>
      <w:bookmarkStart w:id="86" w:name="_Toc523922011"/>
      <w:r>
        <w:t>2.2.3 Safety assessment</w:t>
      </w:r>
      <w:bookmarkEnd w:id="81"/>
      <w:bookmarkEnd w:id="82"/>
      <w:bookmarkEnd w:id="83"/>
      <w:r>
        <w:t xml:space="preserve"> </w:t>
      </w:r>
      <w:bookmarkEnd w:id="84"/>
      <w:bookmarkEnd w:id="85"/>
      <w:bookmarkEnd w:id="86"/>
    </w:p>
    <w:p w14:paraId="5BA2721C" w14:textId="7A09F527" w:rsidR="00C11502" w:rsidRPr="002B594B" w:rsidRDefault="00C11502" w:rsidP="00C11502">
      <w:pPr>
        <w:rPr>
          <w:lang w:bidi="ar-SA"/>
        </w:rPr>
      </w:pPr>
      <w:r w:rsidRPr="002B594B">
        <w:rPr>
          <w:lang w:bidi="ar-SA"/>
        </w:rPr>
        <w:t xml:space="preserve">The submitted data, together with information located from other sources, are considered suitable to assess the </w:t>
      </w:r>
      <w:r w:rsidR="00D70CCF">
        <w:rPr>
          <w:lang w:bidi="ar-SA"/>
        </w:rPr>
        <w:t xml:space="preserve">safety </w:t>
      </w:r>
      <w:r>
        <w:rPr>
          <w:lang w:bidi="ar-SA"/>
        </w:rPr>
        <w:t xml:space="preserve">of jelly mushroom glycolipids. The Supporting Document alongside this </w:t>
      </w:r>
      <w:r w:rsidR="00D70CCF">
        <w:rPr>
          <w:lang w:bidi="ar-SA"/>
        </w:rPr>
        <w:t>Approval Report</w:t>
      </w:r>
      <w:r>
        <w:rPr>
          <w:lang w:bidi="ar-SA"/>
        </w:rPr>
        <w:t xml:space="preserve"> has further detail regarding the safety </w:t>
      </w:r>
      <w:r w:rsidR="006A68BF">
        <w:rPr>
          <w:lang w:bidi="ar-SA"/>
        </w:rPr>
        <w:t>assessment</w:t>
      </w:r>
      <w:r>
        <w:rPr>
          <w:lang w:bidi="ar-SA"/>
        </w:rPr>
        <w:t>.</w:t>
      </w:r>
    </w:p>
    <w:p w14:paraId="020087A0" w14:textId="77777777" w:rsidR="00C11502" w:rsidRPr="002B594B" w:rsidRDefault="00C11502" w:rsidP="00C11502">
      <w:pPr>
        <w:rPr>
          <w:lang w:bidi="ar-SA"/>
        </w:rPr>
      </w:pPr>
    </w:p>
    <w:p w14:paraId="695FA45E" w14:textId="2F26D650" w:rsidR="00C11502" w:rsidRPr="002B594B" w:rsidRDefault="00C11502" w:rsidP="00C11502">
      <w:pPr>
        <w:rPr>
          <w:lang w:bidi="ar-SA"/>
        </w:rPr>
      </w:pPr>
      <w:r w:rsidRPr="00D13458">
        <w:rPr>
          <w:lang w:bidi="ar-SA"/>
        </w:rPr>
        <w:t xml:space="preserve">Pharmacokinetic data indicate that both the parent mixture and the hydrolysis products are likely to be poorly absorbed by the oral route. There was no evidence of persistence or bioaccumulation in any particular tissue. Acute oral toxicity in rats was greater than 2000 mg/kg </w:t>
      </w:r>
      <w:r>
        <w:rPr>
          <w:lang w:bidi="ar-SA"/>
        </w:rPr>
        <w:t>bodyweight</w:t>
      </w:r>
      <w:r w:rsidR="0077637E">
        <w:rPr>
          <w:lang w:bidi="ar-SA"/>
        </w:rPr>
        <w:t>,</w:t>
      </w:r>
    </w:p>
    <w:p w14:paraId="1531A08A" w14:textId="77777777" w:rsidR="00C11502" w:rsidRPr="002B594B" w:rsidRDefault="00C11502" w:rsidP="00C11502">
      <w:pPr>
        <w:rPr>
          <w:lang w:bidi="ar-SA"/>
        </w:rPr>
      </w:pPr>
    </w:p>
    <w:p w14:paraId="2BE89850" w14:textId="3A14FC3C" w:rsidR="00C11502" w:rsidRPr="002B594B" w:rsidRDefault="00C11502" w:rsidP="00C11502">
      <w:pPr>
        <w:rPr>
          <w:lang w:bidi="ar-SA"/>
        </w:rPr>
      </w:pPr>
      <w:r w:rsidRPr="002B594B">
        <w:rPr>
          <w:lang w:bidi="ar-SA"/>
        </w:rPr>
        <w:t xml:space="preserve">Short-term repeat-dose </w:t>
      </w:r>
      <w:r>
        <w:rPr>
          <w:lang w:bidi="ar-SA"/>
        </w:rPr>
        <w:t>Good Laboratory Practice</w:t>
      </w:r>
      <w:r w:rsidRPr="002B594B">
        <w:rPr>
          <w:lang w:bidi="ar-SA"/>
        </w:rPr>
        <w:t xml:space="preserve"> </w:t>
      </w:r>
      <w:r>
        <w:rPr>
          <w:lang w:bidi="ar-SA"/>
        </w:rPr>
        <w:t>(</w:t>
      </w:r>
      <w:r w:rsidRPr="002B594B">
        <w:rPr>
          <w:lang w:bidi="ar-SA"/>
        </w:rPr>
        <w:t>GLP</w:t>
      </w:r>
      <w:r>
        <w:rPr>
          <w:lang w:bidi="ar-SA"/>
        </w:rPr>
        <w:t>)</w:t>
      </w:r>
      <w:r w:rsidRPr="002B594B">
        <w:rPr>
          <w:lang w:bidi="ar-SA"/>
        </w:rPr>
        <w:t>-compliant</w:t>
      </w:r>
      <w:r>
        <w:rPr>
          <w:lang w:bidi="ar-SA"/>
        </w:rPr>
        <w:t xml:space="preserve"> </w:t>
      </w:r>
      <w:r w:rsidRPr="002B594B">
        <w:rPr>
          <w:lang w:bidi="ar-SA"/>
        </w:rPr>
        <w:t xml:space="preserve">studies in rats and dogs were submitted. In a 90-day drinking water study in Sprague Dawley rats, no adverse effects were found at the highest dose administered, equivalent to 1201 and 1423 mg/kg </w:t>
      </w:r>
      <w:r w:rsidR="001139E8">
        <w:rPr>
          <w:lang w:bidi="ar-SA"/>
        </w:rPr>
        <w:t>body weight (</w:t>
      </w:r>
      <w:r w:rsidRPr="002B594B">
        <w:rPr>
          <w:lang w:bidi="ar-SA"/>
        </w:rPr>
        <w:t>bw</w:t>
      </w:r>
      <w:r w:rsidR="001139E8">
        <w:rPr>
          <w:lang w:bidi="ar-SA"/>
        </w:rPr>
        <w:t>)</w:t>
      </w:r>
      <w:r w:rsidRPr="002B594B">
        <w:rPr>
          <w:lang w:bidi="ar-SA"/>
        </w:rPr>
        <w:t>/day in male and female rats</w:t>
      </w:r>
      <w:r w:rsidR="00CF15A1">
        <w:rPr>
          <w:lang w:bidi="ar-SA"/>
        </w:rPr>
        <w:t>,</w:t>
      </w:r>
      <w:r w:rsidRPr="002B594B">
        <w:rPr>
          <w:lang w:bidi="ar-SA"/>
        </w:rPr>
        <w:t xml:space="preserve"> respectively. In a 90-day oral capsule study in Beagle dogs, a significant reduction, relative to that of controls, in group mean cumulative bodyweight gain in female dogs, with a corresponding </w:t>
      </w:r>
      <w:r>
        <w:rPr>
          <w:lang w:bidi="ar-SA"/>
        </w:rPr>
        <w:t xml:space="preserve">but non-significant </w:t>
      </w:r>
      <w:r w:rsidRPr="002B594B">
        <w:rPr>
          <w:lang w:bidi="ar-SA"/>
        </w:rPr>
        <w:t xml:space="preserve">reduction in group mean food consumption, at 1000 mg/kg bw/day, is considered to be adverse by FSANZ. FSANZ considers that the </w:t>
      </w:r>
      <w:r>
        <w:rPr>
          <w:lang w:bidi="ar-SA"/>
        </w:rPr>
        <w:t>No Observed Adverse Effect Level (</w:t>
      </w:r>
      <w:r w:rsidRPr="002B594B">
        <w:rPr>
          <w:lang w:bidi="ar-SA"/>
        </w:rPr>
        <w:t>NOAEL</w:t>
      </w:r>
      <w:r>
        <w:rPr>
          <w:lang w:bidi="ar-SA"/>
        </w:rPr>
        <w:t>)</w:t>
      </w:r>
      <w:r w:rsidRPr="002B594B">
        <w:rPr>
          <w:lang w:bidi="ar-SA"/>
        </w:rPr>
        <w:t xml:space="preserve"> for this study is 500 mg/kg bw/day. </w:t>
      </w:r>
    </w:p>
    <w:p w14:paraId="15280829" w14:textId="77777777" w:rsidR="00C11502" w:rsidRPr="002B594B" w:rsidRDefault="00C11502" w:rsidP="00C11502">
      <w:pPr>
        <w:rPr>
          <w:lang w:bidi="ar-SA"/>
        </w:rPr>
      </w:pPr>
    </w:p>
    <w:p w14:paraId="3BCDD13B" w14:textId="77777777" w:rsidR="00C11502" w:rsidRPr="002B594B" w:rsidRDefault="00C11502" w:rsidP="00C11502">
      <w:pPr>
        <w:rPr>
          <w:lang w:bidi="ar-SA"/>
        </w:rPr>
      </w:pPr>
      <w:r w:rsidRPr="002B594B">
        <w:rPr>
          <w:lang w:bidi="ar-SA"/>
        </w:rPr>
        <w:t xml:space="preserve">No chronic or carcinogenicity studies of </w:t>
      </w:r>
      <w:r>
        <w:rPr>
          <w:lang w:bidi="ar-SA"/>
        </w:rPr>
        <w:t>jelly mushroom glycolipids</w:t>
      </w:r>
      <w:r w:rsidRPr="002B594B">
        <w:rPr>
          <w:lang w:bidi="ar-SA"/>
        </w:rPr>
        <w:t xml:space="preserve"> were submitted in the application or located from other sources. </w:t>
      </w:r>
      <w:r>
        <w:rPr>
          <w:lang w:bidi="ar-SA"/>
        </w:rPr>
        <w:t>Jelly mushroom glycolipids</w:t>
      </w:r>
      <w:r w:rsidRPr="002B594B">
        <w:rPr>
          <w:lang w:bidi="ar-SA"/>
        </w:rPr>
        <w:t xml:space="preserve"> were not genotoxic in GLP-compliant genotoxicity studies that included bacterial reverse mutation assay, micronucleus test in human lymphocytes, and cell gene mutation test (TK mutation test) in L5178Y mouse lymphoma cells. There was an absence of test article related lesions in the repeat-dose studies, and therefore there was no evidence of neoplastic potential by </w:t>
      </w:r>
      <w:r>
        <w:rPr>
          <w:lang w:bidi="ar-SA"/>
        </w:rPr>
        <w:t xml:space="preserve">a </w:t>
      </w:r>
      <w:r w:rsidRPr="002B594B">
        <w:rPr>
          <w:lang w:bidi="ar-SA"/>
        </w:rPr>
        <w:t>non</w:t>
      </w:r>
      <w:r>
        <w:rPr>
          <w:lang w:bidi="ar-SA"/>
        </w:rPr>
        <w:t>-</w:t>
      </w:r>
      <w:r w:rsidRPr="002B594B">
        <w:rPr>
          <w:lang w:bidi="ar-SA"/>
        </w:rPr>
        <w:t>genotoxic me</w:t>
      </w:r>
      <w:r>
        <w:rPr>
          <w:lang w:bidi="ar-SA"/>
        </w:rPr>
        <w:t>chanism</w:t>
      </w:r>
      <w:r w:rsidRPr="002B594B">
        <w:rPr>
          <w:lang w:bidi="ar-SA"/>
        </w:rPr>
        <w:t xml:space="preserve">. </w:t>
      </w:r>
    </w:p>
    <w:p w14:paraId="61E09115" w14:textId="77777777" w:rsidR="00C11502" w:rsidRPr="002B594B" w:rsidRDefault="00C11502" w:rsidP="00C11502">
      <w:pPr>
        <w:rPr>
          <w:lang w:bidi="ar-SA"/>
        </w:rPr>
      </w:pPr>
    </w:p>
    <w:p w14:paraId="7F2ACBDC" w14:textId="77777777" w:rsidR="00C11502" w:rsidRPr="002B594B" w:rsidRDefault="00C11502" w:rsidP="00C11502">
      <w:pPr>
        <w:rPr>
          <w:lang w:bidi="ar-SA"/>
        </w:rPr>
      </w:pPr>
      <w:r w:rsidRPr="002B594B">
        <w:rPr>
          <w:lang w:bidi="ar-SA"/>
        </w:rPr>
        <w:t xml:space="preserve">Potential for developmental and/or reproductive toxicity was assessed in two GLP-compliant studies in Sprague Dawley rats, a developmental toxicity study and a two-generation reproductive toxicity study. The NOAEL for parental toxicity, embryo/fetal developmental toxicity and toxicity to offspring was the highest dose tested in the two studies, 1000 mg/kg bw/day. </w:t>
      </w:r>
    </w:p>
    <w:p w14:paraId="27DBB314" w14:textId="77777777" w:rsidR="00C11502" w:rsidRPr="002B594B" w:rsidRDefault="00C11502" w:rsidP="00C11502">
      <w:pPr>
        <w:rPr>
          <w:lang w:bidi="ar-SA"/>
        </w:rPr>
      </w:pPr>
    </w:p>
    <w:p w14:paraId="3271DF5B" w14:textId="77777777" w:rsidR="00C11502" w:rsidRPr="002B594B" w:rsidRDefault="00C11502" w:rsidP="00C11502">
      <w:pPr>
        <w:rPr>
          <w:lang w:bidi="ar-SA"/>
        </w:rPr>
      </w:pPr>
      <w:r w:rsidRPr="002B594B">
        <w:rPr>
          <w:lang w:bidi="ar-SA"/>
        </w:rPr>
        <w:t xml:space="preserve">No human tolerance studies of </w:t>
      </w:r>
      <w:r>
        <w:rPr>
          <w:lang w:bidi="ar-SA"/>
        </w:rPr>
        <w:t>jelly mushroom glycolipids</w:t>
      </w:r>
      <w:r w:rsidRPr="002B594B">
        <w:rPr>
          <w:lang w:bidi="ar-SA"/>
        </w:rPr>
        <w:t xml:space="preserve"> were submitted or located from other sources. It is relevant that the source organism, </w:t>
      </w:r>
      <w:r w:rsidRPr="002B594B">
        <w:rPr>
          <w:i/>
          <w:iCs/>
          <w:lang w:bidi="ar-SA"/>
        </w:rPr>
        <w:t>Dacryopinax spathularia</w:t>
      </w:r>
      <w:r w:rsidRPr="002B594B">
        <w:rPr>
          <w:lang w:bidi="ar-SA"/>
        </w:rPr>
        <w:t xml:space="preserve">, is listed in the FAO compendium on edible mushrooms and is described as edible in peer-reviewed publications from a range of countries in </w:t>
      </w:r>
      <w:r>
        <w:rPr>
          <w:lang w:bidi="ar-SA"/>
        </w:rPr>
        <w:t>multiple</w:t>
      </w:r>
      <w:r w:rsidRPr="002B594B">
        <w:rPr>
          <w:lang w:bidi="ar-SA"/>
        </w:rPr>
        <w:t xml:space="preserve"> continents. There are no case reports of allergic reactions to the source organism, or evidence of allergenic potential of </w:t>
      </w:r>
      <w:r>
        <w:rPr>
          <w:lang w:bidi="ar-SA"/>
        </w:rPr>
        <w:t>jelly mushroom glycolipids</w:t>
      </w:r>
      <w:r w:rsidRPr="002B594B">
        <w:rPr>
          <w:lang w:bidi="ar-SA"/>
        </w:rPr>
        <w:t>. There is a lack of evidence that glycolipids act as food allergens.</w:t>
      </w:r>
    </w:p>
    <w:p w14:paraId="55927EC6" w14:textId="77777777" w:rsidR="00C11502" w:rsidRPr="002B594B" w:rsidRDefault="00C11502" w:rsidP="00C11502">
      <w:pPr>
        <w:rPr>
          <w:lang w:bidi="ar-SA"/>
        </w:rPr>
      </w:pPr>
    </w:p>
    <w:p w14:paraId="70164E2A" w14:textId="5DC00E10" w:rsidR="00C11502" w:rsidRDefault="00C11502" w:rsidP="00C11502">
      <w:r w:rsidRPr="00DC1C18">
        <w:t xml:space="preserve">The </w:t>
      </w:r>
      <w:r w:rsidR="00663C53">
        <w:t>Acceptable Daily Intake (</w:t>
      </w:r>
      <w:r w:rsidRPr="00DC1C18">
        <w:t>ADI</w:t>
      </w:r>
      <w:r w:rsidR="00663C53">
        <w:t>)</w:t>
      </w:r>
      <w:r w:rsidRPr="00DC1C18">
        <w:t xml:space="preserve"> is derived from the lowest NOAEL identified in animals, 500 mg/kg bw/day in Beagle dogs. FSANZ has applied an uncertainty factor of 10 for extrapolation from animals to humans, an uncertainty factor of 10 for variability between humans, and an uncertainty factor of 3 allowing for extrapolation from a subchronic study to chronic exposure, for a total uncertainty factor of 300. An uncertainty factor of 3, rather than 10, has been selected because there is a clear NOAEL at 500 mg/kg bw/day, and the effect is minimal at twice that value, although the dogs were at an age when growth is rapid and energy requirement is high. The ADI is established by division of the lowest NOAEL (500 mg/kg bw/day) by the total UF (300), approximately equalling 1.6, and rounded to 2.0 mg/kg bw/day. </w:t>
      </w:r>
    </w:p>
    <w:p w14:paraId="22C1921A" w14:textId="77777777" w:rsidR="00C11502" w:rsidRDefault="00C11502" w:rsidP="00C11502">
      <w:pPr>
        <w:rPr>
          <w:lang w:bidi="ar-SA"/>
        </w:rPr>
      </w:pPr>
    </w:p>
    <w:p w14:paraId="770EB833" w14:textId="2DEF66BB" w:rsidR="00C11502" w:rsidRDefault="00C11502" w:rsidP="00C11502">
      <w:pPr>
        <w:rPr>
          <w:lang w:eastAsia="en-AU" w:bidi="ar-SA"/>
        </w:rPr>
      </w:pPr>
      <w:r>
        <w:rPr>
          <w:lang w:bidi="ar-SA"/>
        </w:rPr>
        <w:t xml:space="preserve">In conclusion, FSANZ has </w:t>
      </w:r>
      <w:r w:rsidR="00DB40B2">
        <w:rPr>
          <w:lang w:bidi="ar-SA"/>
        </w:rPr>
        <w:t xml:space="preserve">established </w:t>
      </w:r>
      <w:r>
        <w:rPr>
          <w:lang w:bidi="ar-SA"/>
        </w:rPr>
        <w:t xml:space="preserve">an ADI of </w:t>
      </w:r>
      <w:r w:rsidRPr="00F80812">
        <w:rPr>
          <w:lang w:bidi="ar-SA"/>
        </w:rPr>
        <w:t>2.0</w:t>
      </w:r>
      <w:r>
        <w:rPr>
          <w:lang w:bidi="ar-SA"/>
        </w:rPr>
        <w:t xml:space="preserve"> mg/kg bw/day, based on decreased bodyweight gain in growing dogs. </w:t>
      </w:r>
    </w:p>
    <w:p w14:paraId="0ABD64AE" w14:textId="10A0AF60" w:rsidR="00C11502" w:rsidRDefault="00C11502" w:rsidP="00C11502">
      <w:pPr>
        <w:pStyle w:val="Heading3"/>
      </w:pPr>
      <w:bookmarkStart w:id="87" w:name="_Toc45114300"/>
      <w:bookmarkStart w:id="88" w:name="_Toc45480670"/>
      <w:bookmarkStart w:id="89" w:name="_Toc53137957"/>
      <w:r>
        <w:t>2.2.4 Dietary exposure assessment</w:t>
      </w:r>
      <w:bookmarkEnd w:id="87"/>
      <w:bookmarkEnd w:id="88"/>
      <w:bookmarkEnd w:id="89"/>
    </w:p>
    <w:p w14:paraId="1ECC2D45" w14:textId="48145CC1" w:rsidR="00C11502" w:rsidRPr="00B55752" w:rsidRDefault="00C11502" w:rsidP="00C11502">
      <w:r>
        <w:t>The dietary exposure assessment for jelly mushroom glycolipids assessed</w:t>
      </w:r>
      <w:r w:rsidRPr="00B01133">
        <w:t xml:space="preserve"> additive uses</w:t>
      </w:r>
      <w:r>
        <w:t xml:space="preserve"> across three scenarios; </w:t>
      </w:r>
      <w:r w:rsidRPr="00055F0B">
        <w:rPr>
          <w:i/>
        </w:rPr>
        <w:t>General MPL</w:t>
      </w:r>
      <w:r>
        <w:rPr>
          <w:rStyle w:val="FootnoteReference"/>
          <w:i/>
        </w:rPr>
        <w:footnoteReference w:id="3"/>
      </w:r>
      <w:r>
        <w:t xml:space="preserve">, </w:t>
      </w:r>
      <w:r w:rsidRPr="00055F0B">
        <w:rPr>
          <w:i/>
        </w:rPr>
        <w:t>Specific MPL</w:t>
      </w:r>
      <w:r>
        <w:t xml:space="preserve"> and </w:t>
      </w:r>
      <w:r w:rsidRPr="00055F0B">
        <w:rPr>
          <w:i/>
        </w:rPr>
        <w:t xml:space="preserve">Usual Use </w:t>
      </w:r>
      <w:r w:rsidRPr="00055F0B">
        <w:t>levels</w:t>
      </w:r>
      <w:r>
        <w:t xml:space="preserve"> </w:t>
      </w:r>
      <w:r w:rsidR="008A51CF">
        <w:t xml:space="preserve">across </w:t>
      </w:r>
      <w:r>
        <w:t>three population groups; Australians aged 2 years and above, New Zealanders aged 15 years and above and New Zealand children aged 5-14 years. The assessment showed that</w:t>
      </w:r>
      <w:r>
        <w:rPr>
          <w:lang w:eastAsia="en-AU"/>
        </w:rPr>
        <w:t xml:space="preserve"> mean and 90</w:t>
      </w:r>
      <w:r w:rsidRPr="00D71908">
        <w:rPr>
          <w:vertAlign w:val="superscript"/>
          <w:lang w:eastAsia="en-AU"/>
        </w:rPr>
        <w:t>th</w:t>
      </w:r>
      <w:r>
        <w:rPr>
          <w:lang w:eastAsia="en-AU"/>
        </w:rPr>
        <w:t xml:space="preserve"> percentile (P90) estimated dietary exposures for all scenarios and population groups assessed </w:t>
      </w:r>
      <w:r w:rsidR="008A51CF">
        <w:rPr>
          <w:lang w:eastAsia="en-AU"/>
        </w:rPr>
        <w:t xml:space="preserve">was </w:t>
      </w:r>
      <w:r>
        <w:rPr>
          <w:lang w:eastAsia="en-AU"/>
        </w:rPr>
        <w:t>below the ADI of 2.0 mg/kg bw/day. The mean dietary exposures ranged between 10-35% of the ADI and P90 dietary exposures ranged between 20</w:t>
      </w:r>
      <w:r>
        <w:rPr>
          <w:lang w:eastAsia="en-AU"/>
        </w:rPr>
        <w:fldChar w:fldCharType="begin" w:fldLock="1"/>
      </w:r>
      <w:r>
        <w:rPr>
          <w:lang w:eastAsia="en-AU"/>
        </w:rPr>
        <w:instrText xml:space="preserve"> DOCPROPERTY bjHeaderBothDocProperty \* MERGEFORMAT </w:instrText>
      </w:r>
      <w:r>
        <w:rPr>
          <w:lang w:eastAsia="en-AU"/>
        </w:rPr>
        <w:fldChar w:fldCharType="end"/>
      </w:r>
      <w:r>
        <w:rPr>
          <w:lang w:eastAsia="en-AU"/>
        </w:rPr>
        <w:t xml:space="preserve">-75% of the ADI. </w:t>
      </w:r>
    </w:p>
    <w:p w14:paraId="19F1838A" w14:textId="77777777" w:rsidR="00C11502" w:rsidRDefault="00C11502" w:rsidP="00C11502"/>
    <w:p w14:paraId="615005F2" w14:textId="77777777" w:rsidR="00C11502" w:rsidRPr="00772F97" w:rsidRDefault="00C11502" w:rsidP="00C11502">
      <w:pPr>
        <w:rPr>
          <w:rFonts w:ascii="Calibri" w:hAnsi="Calibri" w:cs="Calibri"/>
          <w:b/>
          <w:sz w:val="24"/>
        </w:rPr>
      </w:pPr>
      <w:r>
        <w:t xml:space="preserve">Across all population groups assessed and all scenarios, the two major contributing food categories to jelly mushroom glycolipids dietary exposures were: 1) </w:t>
      </w:r>
      <w:r w:rsidRPr="00D03652">
        <w:t>Water based flavoured drinks, excluding powders, ice</w:t>
      </w:r>
      <w:r>
        <w:t xml:space="preserve">d teas, brewed soft drinks; and 2) </w:t>
      </w:r>
      <w:r w:rsidRPr="00D03652">
        <w:t xml:space="preserve">Fruit </w:t>
      </w:r>
      <w:r>
        <w:t>and</w:t>
      </w:r>
      <w:r w:rsidRPr="00D03652">
        <w:t xml:space="preserve"> vegetable juices</w:t>
      </w:r>
      <w:r>
        <w:t xml:space="preserve">. </w:t>
      </w:r>
    </w:p>
    <w:p w14:paraId="5600F353" w14:textId="77777777" w:rsidR="00C11502" w:rsidRDefault="00C11502" w:rsidP="00C11502"/>
    <w:p w14:paraId="7D838BE5" w14:textId="6E2D2AEB" w:rsidR="00C11502" w:rsidRPr="00772F97" w:rsidRDefault="008A51CF" w:rsidP="00C11502">
      <w:r>
        <w:rPr>
          <w:lang w:eastAsia="en-AU"/>
        </w:rPr>
        <w:t>D</w:t>
      </w:r>
      <w:r w:rsidR="00C11502">
        <w:rPr>
          <w:lang w:eastAsia="en-AU"/>
        </w:rPr>
        <w:t xml:space="preserve">ietary </w:t>
      </w:r>
      <w:r w:rsidR="00C11502" w:rsidRPr="00B3630A">
        <w:t xml:space="preserve">exposures to </w:t>
      </w:r>
      <w:r w:rsidR="00C11502">
        <w:t>jelly mushroom glycolipids</w:t>
      </w:r>
      <w:r w:rsidR="00C11502" w:rsidRPr="00B3630A">
        <w:t xml:space="preserve"> for Australian</w:t>
      </w:r>
      <w:r w:rsidR="00C11502">
        <w:t>s aged 2 years and above</w:t>
      </w:r>
      <w:r w:rsidR="00C11502" w:rsidRPr="00B3630A">
        <w:t xml:space="preserve"> </w:t>
      </w:r>
      <w:r w:rsidR="00C11502">
        <w:t xml:space="preserve">(mean: 0.46 mg/kg bw/day; P90: 1.0 mg/kg bw/day) </w:t>
      </w:r>
      <w:r w:rsidR="00C11502" w:rsidRPr="00B3630A">
        <w:t>and New Zealand</w:t>
      </w:r>
      <w:r w:rsidR="00C11502">
        <w:t>er aged 15 years and above</w:t>
      </w:r>
      <w:r w:rsidR="00C11502" w:rsidRPr="00B3630A">
        <w:t xml:space="preserve"> </w:t>
      </w:r>
      <w:r w:rsidR="00C11502">
        <w:t xml:space="preserve">(mean: 0.38 mg/kg bw/day; P90: 0.87 mg/kg bw/day) </w:t>
      </w:r>
      <w:r w:rsidR="00C11502">
        <w:rPr>
          <w:lang w:eastAsia="en-AU"/>
        </w:rPr>
        <w:t>are similar to those estimated for American consumers (mean: 0.51 mg/kg bw/day; P90: 1.09 mg/kg bw/day) in the US GRAS notification (US FDA, 2017)</w:t>
      </w:r>
      <w:r w:rsidR="00C11502">
        <w:rPr>
          <w:rStyle w:val="FootnoteReference"/>
          <w:lang w:eastAsia="en-AU"/>
        </w:rPr>
        <w:footnoteReference w:id="4"/>
      </w:r>
      <w:r w:rsidR="00C11502">
        <w:rPr>
          <w:lang w:eastAsia="en-AU"/>
        </w:rPr>
        <w:t xml:space="preserve">. </w:t>
      </w:r>
    </w:p>
    <w:p w14:paraId="5A22E112" w14:textId="77777777" w:rsidR="002C1A3B" w:rsidRPr="00932F14" w:rsidRDefault="002C1A3B" w:rsidP="002C1A3B">
      <w:pPr>
        <w:pStyle w:val="Heading2"/>
      </w:pPr>
      <w:bookmarkStart w:id="90" w:name="_Toc53137958"/>
      <w:r>
        <w:t>2.3</w:t>
      </w:r>
      <w:r>
        <w:tab/>
        <w:t>Risk management</w:t>
      </w:r>
      <w:bookmarkEnd w:id="75"/>
      <w:bookmarkEnd w:id="76"/>
      <w:bookmarkEnd w:id="90"/>
    </w:p>
    <w:p w14:paraId="67E22BFC" w14:textId="3D442B09" w:rsidR="00C11502" w:rsidRPr="00A97606" w:rsidRDefault="00C11502" w:rsidP="00C11502">
      <w:bookmarkStart w:id="91" w:name="_Toc309291814"/>
      <w:bookmarkStart w:id="92" w:name="_Toc370225389"/>
      <w:bookmarkStart w:id="93" w:name="_Toc286391012"/>
      <w:bookmarkEnd w:id="77"/>
      <w:r w:rsidRPr="00A97606">
        <w:t>Given the findings of the safety assessment, FSANZ considers an ADI of 2.0 mg/kg bw/day appropriate. It is noted the dietary exposure assessment indicates the requested levels of jelly mushroom glycolipids in different categories of non-alcoholic beverages would not exceed the proposed ADI. Furthermore, while the mode of action that allows the jelly glycolipids to inhibit mould and yeasts in beverages is not completely understood, it none the less shows a degree of efficacy in extending non-alcoholic beverage shelf life</w:t>
      </w:r>
      <w:r>
        <w:t xml:space="preserve"> at the proposed levels of addition (2-100 mg/kg),</w:t>
      </w:r>
      <w:r w:rsidRPr="00A97606">
        <w:t xml:space="preserve"> with no public health and safety concerns being </w:t>
      </w:r>
      <w:r>
        <w:t>identified</w:t>
      </w:r>
      <w:r w:rsidRPr="00A97606">
        <w:t xml:space="preserve">. </w:t>
      </w:r>
    </w:p>
    <w:p w14:paraId="6ABE5BC7" w14:textId="77777777" w:rsidR="00C11502" w:rsidRPr="00772F97" w:rsidRDefault="00C11502" w:rsidP="00C11502"/>
    <w:p w14:paraId="4CCC82B0" w14:textId="77777777" w:rsidR="00E3011E" w:rsidRDefault="00C11502" w:rsidP="00C11502">
      <w:r>
        <w:t xml:space="preserve">The risk management options available to FSANZ after assessment were to: reject the application; or prepare a draft variation to amend the Code to permit jelly mushroom glycolipids as a food additive in non-alcoholic beverages at the requested levels for different non-alcoholic beverage categories. </w:t>
      </w:r>
    </w:p>
    <w:p w14:paraId="783B27D9" w14:textId="77777777" w:rsidR="00E3011E" w:rsidRDefault="00E3011E" w:rsidP="00C11502"/>
    <w:p w14:paraId="23D3DD74" w14:textId="7B2FA903" w:rsidR="00C11502" w:rsidRPr="00CD5522" w:rsidRDefault="00E3011E" w:rsidP="00C11502">
      <w:r w:rsidRPr="00765835">
        <w:t>Since the risk assessment did not identify any public health and safety concerns</w:t>
      </w:r>
      <w:r w:rsidR="00C11502">
        <w:t xml:space="preserve">, the decision was made to prepare a draft variation to the Code (Attachment A). </w:t>
      </w:r>
    </w:p>
    <w:p w14:paraId="11E35DCC" w14:textId="714ADC30" w:rsidR="00C11502" w:rsidRPr="00022DBC" w:rsidRDefault="002B0E55" w:rsidP="00C11502">
      <w:pPr>
        <w:pStyle w:val="Heading3"/>
      </w:pPr>
      <w:bookmarkStart w:id="94" w:name="_Toc45114302"/>
      <w:bookmarkStart w:id="95" w:name="_Toc45480672"/>
      <w:bookmarkStart w:id="96" w:name="_Toc53137959"/>
      <w:r>
        <w:t>2.3</w:t>
      </w:r>
      <w:r w:rsidR="00C11502">
        <w:t>.1</w:t>
      </w:r>
      <w:r w:rsidR="00C11502" w:rsidRPr="00022DBC">
        <w:tab/>
      </w:r>
      <w:r w:rsidR="00C11502">
        <w:t>Labelling</w:t>
      </w:r>
      <w:bookmarkEnd w:id="94"/>
      <w:bookmarkEnd w:id="95"/>
      <w:bookmarkEnd w:id="96"/>
    </w:p>
    <w:p w14:paraId="24296152" w14:textId="422ED95D" w:rsidR="00E3011E" w:rsidRDefault="00E3011E" w:rsidP="00C11502">
      <w:r>
        <w:rPr>
          <w:lang w:eastAsia="en-AU" w:bidi="ar-SA"/>
        </w:rPr>
        <w:t xml:space="preserve">In general, food </w:t>
      </w:r>
      <w:r w:rsidR="00C11502">
        <w:rPr>
          <w:lang w:eastAsia="en-AU" w:bidi="ar-SA"/>
        </w:rPr>
        <w:t xml:space="preserve">additives </w:t>
      </w:r>
      <w:r>
        <w:rPr>
          <w:lang w:eastAsia="en-AU" w:bidi="ar-SA"/>
        </w:rPr>
        <w:t xml:space="preserve">in packaged food for sale </w:t>
      </w:r>
      <w:r w:rsidR="00C11502">
        <w:rPr>
          <w:lang w:eastAsia="en-AU" w:bidi="ar-SA"/>
        </w:rPr>
        <w:t xml:space="preserve">must be listed in the statement of ingredients </w:t>
      </w:r>
      <w:r>
        <w:rPr>
          <w:lang w:eastAsia="en-AU" w:bidi="ar-SA"/>
        </w:rPr>
        <w:t>for th</w:t>
      </w:r>
      <w:r w:rsidR="003D3100">
        <w:rPr>
          <w:lang w:eastAsia="en-AU" w:bidi="ar-SA"/>
        </w:rPr>
        <w:t>e</w:t>
      </w:r>
      <w:r>
        <w:rPr>
          <w:lang w:eastAsia="en-AU" w:bidi="ar-SA"/>
        </w:rPr>
        <w:t xml:space="preserve"> food </w:t>
      </w:r>
      <w:r w:rsidR="003D3100">
        <w:rPr>
          <w:lang w:eastAsia="en-AU" w:bidi="ar-SA"/>
        </w:rPr>
        <w:t xml:space="preserve">concerned </w:t>
      </w:r>
      <w:r w:rsidR="00C11502">
        <w:rPr>
          <w:lang w:eastAsia="en-AU" w:bidi="ar-SA"/>
        </w:rPr>
        <w:t xml:space="preserve">in accordance with requirements set out in section </w:t>
      </w:r>
      <w:r w:rsidR="00C11502">
        <w:t xml:space="preserve">1.2.4—7 of the Code. </w:t>
      </w:r>
    </w:p>
    <w:p w14:paraId="31091AED" w14:textId="77777777" w:rsidR="00E3011E" w:rsidRDefault="00E3011E" w:rsidP="00C11502"/>
    <w:p w14:paraId="5A92067E" w14:textId="6C3FEC9B" w:rsidR="00C11502" w:rsidRDefault="00C11502" w:rsidP="00C11502">
      <w:pPr>
        <w:rPr>
          <w:color w:val="000000" w:themeColor="text1"/>
        </w:rPr>
      </w:pPr>
      <w:r>
        <w:t xml:space="preserve">This application seeks permission to use glycoplipids from jelly mushroom fungus as a preservative in non-alcoholic beverages. Glycolipids from </w:t>
      </w:r>
      <w:r w:rsidRPr="00844890">
        <w:rPr>
          <w:i/>
        </w:rPr>
        <w:t>Dacryopinax spathularia</w:t>
      </w:r>
      <w:r>
        <w:t xml:space="preserve"> (a jelly mushroom fungus) does not yet have a number in the Codex </w:t>
      </w:r>
      <w:r w:rsidRPr="00A63039">
        <w:rPr>
          <w:color w:val="000000" w:themeColor="text1"/>
        </w:rPr>
        <w:t>Alimentarius International Numbering System (INS)</w:t>
      </w:r>
      <w:r>
        <w:rPr>
          <w:color w:val="000000" w:themeColor="text1"/>
        </w:rPr>
        <w:t xml:space="preserve"> </w:t>
      </w:r>
      <w:r w:rsidRPr="00A63039">
        <w:rPr>
          <w:color w:val="000000" w:themeColor="text1"/>
        </w:rPr>
        <w:t>for food additives</w:t>
      </w:r>
      <w:r>
        <w:rPr>
          <w:color w:val="000000" w:themeColor="text1"/>
        </w:rPr>
        <w:t>.</w:t>
      </w:r>
    </w:p>
    <w:p w14:paraId="6FDCD5C0" w14:textId="77777777" w:rsidR="00AC4D1A" w:rsidRDefault="00AC4D1A" w:rsidP="00C11502">
      <w:pPr>
        <w:rPr>
          <w:color w:val="000000" w:themeColor="text1"/>
        </w:rPr>
      </w:pPr>
    </w:p>
    <w:p w14:paraId="2ED47D7C" w14:textId="553F3292" w:rsidR="00A12784" w:rsidRDefault="00C11502" w:rsidP="00C11502">
      <w:pPr>
        <w:rPr>
          <w:color w:val="000000" w:themeColor="text1"/>
        </w:rPr>
      </w:pPr>
      <w:r>
        <w:rPr>
          <w:color w:val="000000" w:themeColor="text1"/>
        </w:rPr>
        <w:t>The applicant ha</w:t>
      </w:r>
      <w:r w:rsidR="00A12784">
        <w:rPr>
          <w:color w:val="000000" w:themeColor="text1"/>
        </w:rPr>
        <w:t>d</w:t>
      </w:r>
      <w:r>
        <w:rPr>
          <w:color w:val="000000" w:themeColor="text1"/>
        </w:rPr>
        <w:t xml:space="preserve"> proposed ‘natural glycolipids’ as a possible name for </w:t>
      </w:r>
      <w:r w:rsidR="00AC4D1A">
        <w:rPr>
          <w:color w:val="000000" w:themeColor="text1"/>
        </w:rPr>
        <w:t>glycolipids</w:t>
      </w:r>
      <w:r>
        <w:rPr>
          <w:color w:val="000000" w:themeColor="text1"/>
        </w:rPr>
        <w:t xml:space="preserve"> from jelly mushroom fungus for labelling purposes. FSANZ considers ‘natural glycolipids’ is not sufficiently specific given the three main glycolipids in the glycolipid mixture from jelly mushroom fungus are not found in other foods (SD1). </w:t>
      </w:r>
      <w:r w:rsidR="00A12784">
        <w:rPr>
          <w:color w:val="000000" w:themeColor="text1"/>
        </w:rPr>
        <w:t>Nor does the</w:t>
      </w:r>
      <w:r w:rsidR="00A12784" w:rsidRPr="00AE7141">
        <w:rPr>
          <w:color w:val="000000" w:themeColor="text1"/>
        </w:rPr>
        <w:t xml:space="preserve"> Code does define</w:t>
      </w:r>
      <w:r w:rsidR="00A12784">
        <w:rPr>
          <w:color w:val="000000" w:themeColor="text1"/>
        </w:rPr>
        <w:t>, prescribe</w:t>
      </w:r>
      <w:r w:rsidR="00A12784" w:rsidRPr="00AE7141">
        <w:rPr>
          <w:color w:val="000000" w:themeColor="text1"/>
        </w:rPr>
        <w:t xml:space="preserve"> or regulate the use of </w:t>
      </w:r>
      <w:r w:rsidR="00A12784">
        <w:rPr>
          <w:color w:val="000000" w:themeColor="text1"/>
        </w:rPr>
        <w:t>the word</w:t>
      </w:r>
      <w:r w:rsidR="00A12784" w:rsidRPr="00AE7141">
        <w:rPr>
          <w:color w:val="000000" w:themeColor="text1"/>
        </w:rPr>
        <w:t xml:space="preserve"> ‘natural’. </w:t>
      </w:r>
      <w:r w:rsidR="00A12784">
        <w:rPr>
          <w:color w:val="000000" w:themeColor="text1"/>
        </w:rPr>
        <w:t>Such a descriptor</w:t>
      </w:r>
      <w:r w:rsidR="00A12784" w:rsidRPr="00AE7141">
        <w:rPr>
          <w:color w:val="000000" w:themeColor="text1"/>
        </w:rPr>
        <w:t xml:space="preserve"> </w:t>
      </w:r>
      <w:r w:rsidR="00A12784">
        <w:rPr>
          <w:color w:val="000000" w:themeColor="text1"/>
        </w:rPr>
        <w:t>can be</w:t>
      </w:r>
      <w:r w:rsidR="00A12784" w:rsidRPr="00AE7141">
        <w:rPr>
          <w:color w:val="000000" w:themeColor="text1"/>
        </w:rPr>
        <w:t xml:space="preserve"> </w:t>
      </w:r>
      <w:r w:rsidR="00A12784">
        <w:rPr>
          <w:color w:val="000000" w:themeColor="text1"/>
        </w:rPr>
        <w:t>used</w:t>
      </w:r>
      <w:r w:rsidR="00A12784" w:rsidRPr="00AE7141">
        <w:rPr>
          <w:color w:val="000000" w:themeColor="text1"/>
        </w:rPr>
        <w:t xml:space="preserve"> voluntari</w:t>
      </w:r>
      <w:r w:rsidR="00A12784">
        <w:rPr>
          <w:color w:val="000000" w:themeColor="text1"/>
        </w:rPr>
        <w:t>ly by food businesses and is</w:t>
      </w:r>
      <w:r w:rsidR="00A12784" w:rsidRPr="00AE7141">
        <w:rPr>
          <w:color w:val="000000" w:themeColor="text1"/>
        </w:rPr>
        <w:t xml:space="preserve"> subject to </w:t>
      </w:r>
      <w:r w:rsidR="00A12784">
        <w:rPr>
          <w:color w:val="000000" w:themeColor="text1"/>
        </w:rPr>
        <w:t xml:space="preserve">food laws, consumer protection laws and </w:t>
      </w:r>
      <w:r w:rsidR="00A12784" w:rsidRPr="00AE7141">
        <w:rPr>
          <w:color w:val="000000" w:themeColor="text1"/>
        </w:rPr>
        <w:t>fair trading la</w:t>
      </w:r>
      <w:r w:rsidR="00A12784">
        <w:rPr>
          <w:color w:val="000000" w:themeColor="text1"/>
        </w:rPr>
        <w:t>ws in Australia and New Zealand which prohibit</w:t>
      </w:r>
      <w:r w:rsidR="00A12784" w:rsidRPr="00AE7141">
        <w:rPr>
          <w:color w:val="000000" w:themeColor="text1"/>
        </w:rPr>
        <w:t xml:space="preserve"> representations about food that are, or are likely to be, false, misleading or deceptive.</w:t>
      </w:r>
    </w:p>
    <w:p w14:paraId="180E6D5A" w14:textId="77777777" w:rsidR="00A12784" w:rsidRDefault="00A12784" w:rsidP="00C11502">
      <w:pPr>
        <w:rPr>
          <w:color w:val="000000" w:themeColor="text1"/>
        </w:rPr>
      </w:pPr>
    </w:p>
    <w:p w14:paraId="4307FAEF" w14:textId="00937755" w:rsidR="00A12784" w:rsidRDefault="00C11502" w:rsidP="00C11502">
      <w:pPr>
        <w:rPr>
          <w:color w:val="000000" w:themeColor="text1"/>
        </w:rPr>
      </w:pPr>
      <w:r>
        <w:rPr>
          <w:color w:val="000000" w:themeColor="text1"/>
        </w:rPr>
        <w:t>Therefore, the name ‘</w:t>
      </w:r>
      <w:r w:rsidR="00D6409B">
        <w:rPr>
          <w:color w:val="000000" w:themeColor="text1"/>
        </w:rPr>
        <w:t>sweet osmanthus ear glycolipids</w:t>
      </w:r>
      <w:r>
        <w:rPr>
          <w:color w:val="000000" w:themeColor="text1"/>
        </w:rPr>
        <w:t xml:space="preserve">’ </w:t>
      </w:r>
      <w:r w:rsidR="00A12784">
        <w:rPr>
          <w:color w:val="000000" w:themeColor="text1"/>
        </w:rPr>
        <w:t xml:space="preserve">was approved to ensure that </w:t>
      </w:r>
      <w:r>
        <w:rPr>
          <w:color w:val="000000" w:themeColor="text1"/>
        </w:rPr>
        <w:t xml:space="preserve">the </w:t>
      </w:r>
      <w:r w:rsidR="00AC4D1A">
        <w:rPr>
          <w:color w:val="000000" w:themeColor="text1"/>
        </w:rPr>
        <w:t>glycolipid</w:t>
      </w:r>
      <w:r>
        <w:rPr>
          <w:color w:val="000000" w:themeColor="text1"/>
        </w:rPr>
        <w:t xml:space="preserve"> source is clearly identified. This name is one of four names listed in the GRAS notification</w:t>
      </w:r>
      <w:r>
        <w:rPr>
          <w:rStyle w:val="FootnoteReference"/>
          <w:color w:val="000000" w:themeColor="text1"/>
        </w:rPr>
        <w:footnoteReference w:id="5"/>
      </w:r>
      <w:r>
        <w:rPr>
          <w:color w:val="000000" w:themeColor="text1"/>
        </w:rPr>
        <w:t xml:space="preserve"> that can be used for labelling purposes in the USA. </w:t>
      </w:r>
    </w:p>
    <w:p w14:paraId="5FDCDEA1" w14:textId="77777777" w:rsidR="00C11502" w:rsidRDefault="00C11502" w:rsidP="00C11502">
      <w:pPr>
        <w:rPr>
          <w:color w:val="000000" w:themeColor="text1"/>
        </w:rPr>
      </w:pPr>
    </w:p>
    <w:p w14:paraId="6E1963F9" w14:textId="2B77C37E" w:rsidR="00C11502" w:rsidRDefault="00C11502" w:rsidP="00C11502">
      <w:pPr>
        <w:rPr>
          <w:color w:val="000000" w:themeColor="text1"/>
        </w:rPr>
      </w:pPr>
      <w:r>
        <w:rPr>
          <w:color w:val="000000" w:themeColor="text1"/>
        </w:rPr>
        <w:t>Accordingly, based on current Code requirements for additive labelling and the absence of an INS number, the presence of glycolipids from jelly mushroom fungus in a food would need to be declared in the statement of ingredients using the class name ‘preservative’ followed by ‘</w:t>
      </w:r>
      <w:r w:rsidR="00D6409B">
        <w:rPr>
          <w:color w:val="000000" w:themeColor="text1"/>
        </w:rPr>
        <w:t>sweet osmanthus ear glycolipids</w:t>
      </w:r>
      <w:r>
        <w:rPr>
          <w:color w:val="000000" w:themeColor="text1"/>
        </w:rPr>
        <w:t>’ in brackets. Should an INS number be assigned in the future, this could be added to Schedule 8.</w:t>
      </w:r>
    </w:p>
    <w:p w14:paraId="26029DA4" w14:textId="77777777" w:rsidR="002C1A3B" w:rsidRPr="008C301D" w:rsidRDefault="002C1A3B" w:rsidP="002C1A3B">
      <w:pPr>
        <w:pStyle w:val="Heading2"/>
      </w:pPr>
      <w:bookmarkStart w:id="97" w:name="_Toc53137960"/>
      <w:r>
        <w:t>2</w:t>
      </w:r>
      <w:r w:rsidRPr="008C301D">
        <w:t>.</w:t>
      </w:r>
      <w:r>
        <w:t>4</w:t>
      </w:r>
      <w:r w:rsidRPr="008C301D">
        <w:tab/>
        <w:t>Risk communication</w:t>
      </w:r>
      <w:bookmarkEnd w:id="91"/>
      <w:bookmarkEnd w:id="92"/>
      <w:bookmarkEnd w:id="97"/>
      <w:r w:rsidRPr="008C301D">
        <w:t xml:space="preserve"> </w:t>
      </w:r>
    </w:p>
    <w:p w14:paraId="4D66640F" w14:textId="77777777" w:rsidR="002C1A3B" w:rsidRPr="002B0E55" w:rsidRDefault="002C1A3B" w:rsidP="002C1A3B">
      <w:pPr>
        <w:pStyle w:val="Heading3"/>
      </w:pPr>
      <w:bookmarkStart w:id="98" w:name="_Toc300933437"/>
      <w:bookmarkStart w:id="99" w:name="_Toc370223475"/>
      <w:bookmarkStart w:id="100" w:name="_Toc370225390"/>
      <w:bookmarkStart w:id="101" w:name="_Toc53137961"/>
      <w:r w:rsidRPr="002B0E55">
        <w:t>2.4.1</w:t>
      </w:r>
      <w:r w:rsidRPr="002B0E55">
        <w:tab/>
        <w:t>Consultation</w:t>
      </w:r>
      <w:bookmarkEnd w:id="98"/>
      <w:bookmarkEnd w:id="99"/>
      <w:bookmarkEnd w:id="100"/>
      <w:bookmarkEnd w:id="101"/>
    </w:p>
    <w:p w14:paraId="1BC44944" w14:textId="77777777" w:rsidR="00D90705" w:rsidRDefault="002C1A3B" w:rsidP="00D90705">
      <w:r w:rsidRPr="00A670A7">
        <w:rPr>
          <w:szCs w:val="22"/>
        </w:rPr>
        <w:t xml:space="preserve">Consultation is a key part of FSANZ’s standards development process. </w:t>
      </w:r>
      <w:r w:rsidR="00D90705">
        <w:t>FSANZ developed and applied a basic communication strategy to this application. All calls for submissions are notified via the Food Standards Notification Circular, media release, FSANZ’s social media tools and Food Standards News.</w:t>
      </w:r>
    </w:p>
    <w:p w14:paraId="28262EAD" w14:textId="5A953E1F" w:rsidR="002C1A3B" w:rsidRPr="00AC4D1A" w:rsidRDefault="002C1A3B" w:rsidP="002C1A3B"/>
    <w:p w14:paraId="220A21FD" w14:textId="73EDE958" w:rsidR="002C1A3B" w:rsidRPr="00A670A7" w:rsidRDefault="00C11502" w:rsidP="002C1A3B">
      <w:pPr>
        <w:rPr>
          <w:szCs w:val="22"/>
        </w:rPr>
      </w:pPr>
      <w:r>
        <w:t xml:space="preserve">The process by which FSANZ considers standards development matters is open, accountable, consultative and transparent. Public submissions </w:t>
      </w:r>
      <w:r w:rsidR="00FA0549">
        <w:t xml:space="preserve">were </w:t>
      </w:r>
      <w:r>
        <w:t>called to obtain the views of interested parties on issues raised by the application and the impacts of regulatory options.</w:t>
      </w:r>
      <w:r w:rsidR="00FA0549">
        <w:t xml:space="preserve"> </w:t>
      </w:r>
      <w:r w:rsidR="002C1A3B" w:rsidRPr="002C1A3B">
        <w:rPr>
          <w:szCs w:val="22"/>
        </w:rPr>
        <w:t xml:space="preserve">FSANZ acknowledges the time taken by individuals and organisations to make submissions on </w:t>
      </w:r>
      <w:r w:rsidR="002C1A3B" w:rsidRPr="006A68BF">
        <w:rPr>
          <w:szCs w:val="22"/>
        </w:rPr>
        <w:t xml:space="preserve">this </w:t>
      </w:r>
      <w:r w:rsidR="006A68BF" w:rsidRPr="006A68BF">
        <w:rPr>
          <w:szCs w:val="22"/>
        </w:rPr>
        <w:t>a</w:t>
      </w:r>
      <w:r w:rsidR="002C1A3B" w:rsidRPr="006A68BF">
        <w:rPr>
          <w:szCs w:val="22"/>
        </w:rPr>
        <w:t xml:space="preserve">pplication. </w:t>
      </w:r>
    </w:p>
    <w:p w14:paraId="325150FA" w14:textId="77777777" w:rsidR="00760C15" w:rsidRPr="002C1A3B" w:rsidRDefault="00760C15" w:rsidP="002C1A3B">
      <w:pPr>
        <w:rPr>
          <w:szCs w:val="22"/>
        </w:rPr>
      </w:pPr>
    </w:p>
    <w:p w14:paraId="6C7A4112" w14:textId="608FDC01" w:rsidR="00FA0549" w:rsidRPr="00765835" w:rsidRDefault="00FA0549" w:rsidP="00FA0549">
      <w:r w:rsidRPr="00765835">
        <w:t xml:space="preserve">FSANZ </w:t>
      </w:r>
      <w:r w:rsidR="00A12784">
        <w:t>took into account all</w:t>
      </w:r>
      <w:r w:rsidRPr="00765835">
        <w:t xml:space="preserve"> public comments received </w:t>
      </w:r>
      <w:r w:rsidR="00A12784">
        <w:t>following</w:t>
      </w:r>
      <w:r w:rsidRPr="00765835">
        <w:t xml:space="preserve"> call for submissions</w:t>
      </w:r>
      <w:r w:rsidR="00A12784">
        <w:t xml:space="preserve"> before deciding to approve the draft variation.</w:t>
      </w:r>
    </w:p>
    <w:p w14:paraId="14BBA91D" w14:textId="229CC041" w:rsidR="002C1A3B" w:rsidRPr="00D90705" w:rsidRDefault="002C1A3B" w:rsidP="00C11502">
      <w:pPr>
        <w:pStyle w:val="Heading3"/>
        <w:ind w:left="0" w:firstLine="0"/>
      </w:pPr>
      <w:bookmarkStart w:id="102" w:name="_Toc53137962"/>
      <w:bookmarkStart w:id="103" w:name="_Toc370225391"/>
      <w:bookmarkStart w:id="104" w:name="_Toc175381455"/>
      <w:bookmarkEnd w:id="48"/>
      <w:bookmarkEnd w:id="49"/>
      <w:bookmarkEnd w:id="50"/>
      <w:bookmarkEnd w:id="51"/>
      <w:bookmarkEnd w:id="52"/>
      <w:bookmarkEnd w:id="53"/>
      <w:bookmarkEnd w:id="93"/>
      <w:r w:rsidRPr="00D90705">
        <w:t>2.4.2</w:t>
      </w:r>
      <w:r w:rsidRPr="00D90705">
        <w:tab/>
        <w:t>World Trade Organization</w:t>
      </w:r>
      <w:bookmarkEnd w:id="102"/>
      <w:r w:rsidRPr="00D90705">
        <w:t xml:space="preserve"> </w:t>
      </w:r>
      <w:bookmarkEnd w:id="103"/>
    </w:p>
    <w:p w14:paraId="7E536F49" w14:textId="77777777" w:rsidR="002C1A3B" w:rsidRPr="00D90705" w:rsidRDefault="002C1A3B" w:rsidP="002C1A3B">
      <w:pPr>
        <w:rPr>
          <w:rFonts w:cs="Arial"/>
        </w:rPr>
      </w:pPr>
      <w:r w:rsidRPr="00D90705">
        <w:rPr>
          <w:rFonts w:cs="Arial"/>
        </w:rPr>
        <w:t>As members of the World Trade Organization (WTO), Australia and New Zealand are obligated to notify WTO member nations where proposed mandatory regulatory measures are inconsistent with any existing or imminent international standards and the proposed measure may have a significant effect on trade.</w:t>
      </w:r>
    </w:p>
    <w:p w14:paraId="61E134BC" w14:textId="77777777" w:rsidR="002C1A3B" w:rsidRPr="00AC4D1A" w:rsidRDefault="002C1A3B" w:rsidP="002C1A3B">
      <w:pPr>
        <w:rPr>
          <w:rFonts w:cs="Arial"/>
        </w:rPr>
      </w:pPr>
    </w:p>
    <w:p w14:paraId="39419EAE" w14:textId="77777777" w:rsidR="00D90705" w:rsidRDefault="00D90705" w:rsidP="00D90705">
      <w:pPr>
        <w:tabs>
          <w:tab w:val="left" w:pos="1560"/>
        </w:tabs>
        <w:rPr>
          <w:rFonts w:cs="Arial"/>
        </w:rPr>
      </w:pPr>
      <w:bookmarkStart w:id="105" w:name="_Toc370223477"/>
      <w:bookmarkStart w:id="106" w:name="_Toc370225392"/>
      <w:bookmarkStart w:id="107" w:name="_Toc309291816"/>
      <w:bookmarkStart w:id="108" w:name="_Toc300933448"/>
      <w:bookmarkStart w:id="109" w:name="_Toc300933577"/>
      <w:bookmarkStart w:id="110" w:name="_Toc301535601"/>
      <w:bookmarkStart w:id="111" w:name="_Toc309385464"/>
      <w:bookmarkStart w:id="112" w:name="_Toc175381456"/>
      <w:bookmarkEnd w:id="104"/>
      <w:r w:rsidRPr="00AC4D1A">
        <w:rPr>
          <w:rFonts w:cs="Arial"/>
        </w:rPr>
        <w:t>There are no C</w:t>
      </w:r>
      <w:r w:rsidRPr="008D0C7A">
        <w:rPr>
          <w:rFonts w:cs="Arial"/>
        </w:rPr>
        <w:t xml:space="preserve">odex standards concerning the use of </w:t>
      </w:r>
      <w:r>
        <w:rPr>
          <w:rFonts w:cs="Arial"/>
        </w:rPr>
        <w:t>jelly mushroom glycolipids</w:t>
      </w:r>
      <w:r w:rsidRPr="008D0C7A">
        <w:rPr>
          <w:rFonts w:cs="Arial"/>
        </w:rPr>
        <w:t xml:space="preserve"> as a food additive in non-alcoholic beverages. Other than having GRAS status</w:t>
      </w:r>
      <w:r w:rsidRPr="008D0C7A">
        <w:rPr>
          <w:rStyle w:val="FootnoteReference"/>
          <w:rFonts w:cs="Arial"/>
        </w:rPr>
        <w:footnoteReference w:id="6"/>
      </w:r>
      <w:r w:rsidRPr="008D0C7A">
        <w:rPr>
          <w:rFonts w:cs="Arial"/>
        </w:rPr>
        <w:t xml:space="preserve"> in the U.S.A, </w:t>
      </w:r>
      <w:r w:rsidRPr="008D0C7A">
        <w:t xml:space="preserve">there are currently no other national standards or regulations approving the use of </w:t>
      </w:r>
      <w:r>
        <w:t>jelly mushroom glycolipids</w:t>
      </w:r>
      <w:r w:rsidRPr="008D0C7A">
        <w:t>, although dossiers for approval in the EU and Canada are in preparation</w:t>
      </w:r>
      <w:r>
        <w:t xml:space="preserve"> by the applicant</w:t>
      </w:r>
      <w:r w:rsidRPr="008D0C7A">
        <w:t>.</w:t>
      </w:r>
      <w:r w:rsidRPr="008D0C7A">
        <w:rPr>
          <w:rFonts w:cs="Arial"/>
        </w:rPr>
        <w:t xml:space="preserve"> </w:t>
      </w:r>
    </w:p>
    <w:p w14:paraId="25714D48" w14:textId="77777777" w:rsidR="00D90705" w:rsidRDefault="00D90705" w:rsidP="00D90705">
      <w:pPr>
        <w:tabs>
          <w:tab w:val="left" w:pos="1560"/>
        </w:tabs>
        <w:rPr>
          <w:rFonts w:cs="Arial"/>
        </w:rPr>
      </w:pPr>
    </w:p>
    <w:p w14:paraId="06AE955B" w14:textId="77777777" w:rsidR="00D90705" w:rsidRPr="00EC58CB" w:rsidRDefault="00D90705" w:rsidP="00D90705">
      <w:pPr>
        <w:tabs>
          <w:tab w:val="left" w:pos="1560"/>
        </w:tabs>
      </w:pPr>
      <w:r w:rsidRPr="008D0C7A">
        <w:rPr>
          <w:rFonts w:cs="Arial"/>
        </w:rPr>
        <w:t xml:space="preserve">Amending the Code to permit </w:t>
      </w:r>
      <w:r>
        <w:rPr>
          <w:rFonts w:cs="Arial"/>
        </w:rPr>
        <w:t>jelly mushroom glycolipids</w:t>
      </w:r>
      <w:r w:rsidRPr="008D0C7A">
        <w:rPr>
          <w:rFonts w:cs="Arial"/>
        </w:rPr>
        <w:t xml:space="preserve"> as a food additive in non-alcoholic beverages is unlikely to have a significant effect on international trade given its use as a food additive is voluntary and the proposed amendment to the Code would not conflict with exist</w:t>
      </w:r>
      <w:r>
        <w:rPr>
          <w:rFonts w:cs="Arial"/>
        </w:rPr>
        <w:t xml:space="preserve">ing or standards. </w:t>
      </w:r>
      <w:r w:rsidRPr="008D0C7A">
        <w:rPr>
          <w:rFonts w:cs="Arial"/>
          <w:iCs/>
        </w:rPr>
        <w:t xml:space="preserve">Therefore, a notification to the WTO under </w:t>
      </w:r>
      <w:r w:rsidRPr="008D0C7A">
        <w:rPr>
          <w:rFonts w:cs="Arial"/>
        </w:rPr>
        <w:t>Australia’s and New Zealand’s</w:t>
      </w:r>
      <w:r w:rsidRPr="008D0C7A">
        <w:rPr>
          <w:rFonts w:cs="Arial"/>
          <w:iCs/>
        </w:rPr>
        <w:t xml:space="preserve"> obligations under the WTO Technical Barriers to Trade or Application of Sanitary and Phytosanitary Measures Agreement was not considered necessary.</w:t>
      </w:r>
    </w:p>
    <w:p w14:paraId="7BB973DD" w14:textId="75B99C35" w:rsidR="002C1A3B" w:rsidRDefault="002C1A3B" w:rsidP="002C1A3B">
      <w:pPr>
        <w:pStyle w:val="Heading2"/>
      </w:pPr>
      <w:bookmarkStart w:id="113" w:name="_Toc53137963"/>
      <w:r w:rsidRPr="002C1A3B">
        <w:t>2.5</w:t>
      </w:r>
      <w:r w:rsidRPr="002C1A3B">
        <w:tab/>
        <w:t>FSANZ Act assessment requirements</w:t>
      </w:r>
      <w:bookmarkEnd w:id="105"/>
      <w:bookmarkEnd w:id="106"/>
      <w:bookmarkEnd w:id="113"/>
    </w:p>
    <w:p w14:paraId="60B36998" w14:textId="77777777" w:rsidR="0078471E" w:rsidRPr="0078471E" w:rsidRDefault="0078471E" w:rsidP="0078471E">
      <w:r w:rsidRPr="0078471E">
        <w:t xml:space="preserve">When assessing this application and the subsequent development of a food regulatory measure, FSANZ had regard to the </w:t>
      </w:r>
      <w:r w:rsidRPr="0078471E" w:rsidDel="00932F14">
        <w:t xml:space="preserve">following </w:t>
      </w:r>
      <w:r w:rsidRPr="0078471E">
        <w:t>matters in section 29 of the FSANZ Act.</w:t>
      </w:r>
    </w:p>
    <w:p w14:paraId="149ED78E" w14:textId="4A9243A7" w:rsidR="002C1A3B" w:rsidRPr="00C11502" w:rsidRDefault="002C1A3B" w:rsidP="002C1A3B">
      <w:pPr>
        <w:pStyle w:val="Heading3"/>
      </w:pPr>
      <w:bookmarkStart w:id="114" w:name="_Toc370223478"/>
      <w:bookmarkStart w:id="115" w:name="_Toc370225393"/>
      <w:bookmarkStart w:id="116" w:name="_Toc53137964"/>
      <w:bookmarkEnd w:id="107"/>
      <w:bookmarkEnd w:id="108"/>
      <w:bookmarkEnd w:id="109"/>
      <w:bookmarkEnd w:id="110"/>
      <w:bookmarkEnd w:id="111"/>
      <w:r w:rsidRPr="002C1A3B">
        <w:t>2.5.1</w:t>
      </w:r>
      <w:r w:rsidRPr="002C1A3B">
        <w:tab/>
        <w:t xml:space="preserve">Section </w:t>
      </w:r>
      <w:r w:rsidRPr="00C11502">
        <w:t>29</w:t>
      </w:r>
      <w:bookmarkEnd w:id="114"/>
      <w:bookmarkEnd w:id="115"/>
      <w:bookmarkEnd w:id="116"/>
    </w:p>
    <w:p w14:paraId="2CC01637"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3D1D2C8E" w14:textId="1F5435EA" w:rsidR="00C11502" w:rsidRDefault="00C11502" w:rsidP="00C11502">
      <w:r w:rsidRPr="00140661">
        <w:t xml:space="preserve">The Office of Best Practice Regulation (OBPR) granted FSANZ a standing exemption from </w:t>
      </w:r>
      <w:r w:rsidR="008736F5">
        <w:t xml:space="preserve"> </w:t>
      </w:r>
      <w:r w:rsidRPr="00140661">
        <w:t xml:space="preserve">the requirement to develop a Regulatory Impact Statement for </w:t>
      </w:r>
      <w:r>
        <w:t xml:space="preserve">permitting new food additives </w:t>
      </w:r>
      <w:r w:rsidRPr="00140661">
        <w:t xml:space="preserve">(OBPR correspondence </w:t>
      </w:r>
      <w:r>
        <w:rPr>
          <w:szCs w:val="22"/>
        </w:rPr>
        <w:t xml:space="preserve">dated 24 November 2010, reference 12065). </w:t>
      </w:r>
      <w:r w:rsidRPr="00B46EB8">
        <w:t xml:space="preserve">This standing exemption was provided as permitting food additives is machinery in nature as they are part of implementing a regulatory framework where the use of the new additive is voluntary once the application has been approved. This standing exemption relates to the introduction of a food to the food supply that has been determined to be safe. </w:t>
      </w:r>
    </w:p>
    <w:p w14:paraId="23431170" w14:textId="77777777" w:rsidR="00C11502" w:rsidRPr="00CD5522" w:rsidRDefault="00C11502" w:rsidP="00C11502">
      <w:r w:rsidRPr="00CD5522">
        <w:t xml:space="preserve"> </w:t>
      </w:r>
    </w:p>
    <w:p w14:paraId="5F00C4F6" w14:textId="391F89E6" w:rsidR="00C11502" w:rsidRDefault="00C11502" w:rsidP="00C11502">
      <w:pPr>
        <w:rPr>
          <w:rFonts w:cs="Arial"/>
        </w:rPr>
      </w:pPr>
      <w:r w:rsidRPr="00A55542">
        <w:rPr>
          <w:rFonts w:cs="Arial"/>
        </w:rPr>
        <w:t xml:space="preserve">FSANZ, however, has given consideration to the costs and benefits that may arise from the proposed measure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from the proposed measur</w:t>
      </w:r>
      <w:r w:rsidRPr="00B46EB8">
        <w:t>e (</w:t>
      </w:r>
      <w:r w:rsidR="00E14C19">
        <w:t xml:space="preserve">paragraph </w:t>
      </w:r>
      <w:r w:rsidRPr="00B46EB8">
        <w:t>29 (2)(a)).</w:t>
      </w:r>
      <w:r>
        <w:rPr>
          <w:rFonts w:cs="Arial"/>
        </w:rPr>
        <w:t xml:space="preserve"> </w:t>
      </w:r>
    </w:p>
    <w:p w14:paraId="3B90F1F3" w14:textId="77777777" w:rsidR="00C11502" w:rsidRDefault="00C11502" w:rsidP="00C11502"/>
    <w:p w14:paraId="429ED649" w14:textId="50F97893" w:rsidR="00C11502" w:rsidRDefault="00C11502" w:rsidP="00C11502">
      <w:r>
        <w:t>The purpose of this consideration is to determine if the community, government, and industry as a whole is likely to benefit, on balance, from a move from the status quo</w:t>
      </w:r>
      <w:r w:rsidRPr="00B46EB8">
        <w:t xml:space="preserve"> (</w:t>
      </w:r>
      <w:r>
        <w:t xml:space="preserve">where the status quo is </w:t>
      </w:r>
      <w:r w:rsidRPr="00B46EB8">
        <w:t>rejecting the application).</w:t>
      </w:r>
      <w:r>
        <w:t xml:space="preserve"> This analysis considers permitting jelly mushroom glycolipids as a food additive</w:t>
      </w:r>
      <w:r w:rsidR="006D25CC">
        <w:t xml:space="preserve"> in non-alcoholic beverages</w:t>
      </w:r>
      <w:r>
        <w:t xml:space="preserve">. </w:t>
      </w:r>
      <w:r w:rsidR="0085538C" w:rsidRPr="0085538C">
        <w:t>FSANZ is of the view that no other realistic food regulatory measures exist.</w:t>
      </w:r>
    </w:p>
    <w:p w14:paraId="73B2CEE1" w14:textId="77777777" w:rsidR="00760C15" w:rsidRDefault="00760C15" w:rsidP="00C11502"/>
    <w:p w14:paraId="39466DE3" w14:textId="63C4BAA5" w:rsidR="00C11502" w:rsidRDefault="00C11502" w:rsidP="00C11502">
      <w:r w:rsidRPr="00824CF4">
        <w:t>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w:t>
      </w:r>
      <w:r>
        <w:t xml:space="preserve"> permitting </w:t>
      </w:r>
      <w:r w:rsidR="006D25CC">
        <w:t>use of jelly mushroom glycolipids as a food additive in non-alcoholic beverages</w:t>
      </w:r>
      <w:r w:rsidRPr="00824CF4">
        <w:t>.</w:t>
      </w:r>
      <w:r>
        <w:t xml:space="preserve"> </w:t>
      </w:r>
    </w:p>
    <w:p w14:paraId="5DF25F2D" w14:textId="77777777" w:rsidR="00C11502" w:rsidRPr="00CD5522" w:rsidRDefault="00C11502" w:rsidP="00C11502">
      <w:pPr>
        <w:pStyle w:val="Heading5"/>
      </w:pPr>
      <w:r>
        <w:t xml:space="preserve">Costs and benefits of permitting jelly mushroom glycolipids as a food additive </w:t>
      </w:r>
    </w:p>
    <w:p w14:paraId="363A26A7" w14:textId="6E564B37" w:rsidR="00C11502" w:rsidRDefault="00C11502" w:rsidP="00C11502">
      <w:r>
        <w:rPr>
          <w:lang w:eastAsia="en-AU" w:bidi="ar-SA"/>
        </w:rPr>
        <w:t>Jelly mushroom glycolipids</w:t>
      </w:r>
      <w:r w:rsidRPr="00B46EB8">
        <w:rPr>
          <w:lang w:eastAsia="en-AU" w:bidi="ar-SA"/>
        </w:rPr>
        <w:t xml:space="preserve"> </w:t>
      </w:r>
      <w:r w:rsidRPr="00B46EB8">
        <w:t xml:space="preserve">are considered </w:t>
      </w:r>
      <w:r w:rsidR="00A21B61">
        <w:t xml:space="preserve">in </w:t>
      </w:r>
      <w:r>
        <w:t xml:space="preserve">FSANZ’s assessment </w:t>
      </w:r>
      <w:r w:rsidRPr="00B46EB8">
        <w:t>to have antifungal effects against common yeasts</w:t>
      </w:r>
      <w:r>
        <w:t xml:space="preserve"> and</w:t>
      </w:r>
      <w:r w:rsidRPr="00B46EB8">
        <w:t xml:space="preserve"> moulds and can be used to prolong the shelf life of non-alcoholic beverages. They may be used as an alternative in some instances to existing preservatives, as well as be</w:t>
      </w:r>
      <w:r>
        <w:t>ing</w:t>
      </w:r>
      <w:r w:rsidRPr="00B46EB8">
        <w:t xml:space="preserve"> used alongside existing production practices (e.g. heat treatment) to preserve beverages.</w:t>
      </w:r>
    </w:p>
    <w:p w14:paraId="6FE99E52" w14:textId="77777777" w:rsidR="00C11502" w:rsidRDefault="00C11502" w:rsidP="00C11502"/>
    <w:p w14:paraId="3ADB4829" w14:textId="037ABFA4" w:rsidR="00C11502" w:rsidRPr="00C97086" w:rsidRDefault="00CB2641" w:rsidP="00C11502">
      <w:r>
        <w:rPr>
          <w:lang w:eastAsia="en-AU" w:bidi="ar-SA"/>
        </w:rPr>
        <w:t>Jelly mushroom glycolipids</w:t>
      </w:r>
      <w:r w:rsidRPr="00B46EB8">
        <w:rPr>
          <w:lang w:eastAsia="en-AU" w:bidi="ar-SA"/>
        </w:rPr>
        <w:t xml:space="preserve"> </w:t>
      </w:r>
      <w:r>
        <w:rPr>
          <w:lang w:eastAsia="en-AU" w:bidi="ar-SA"/>
        </w:rPr>
        <w:t xml:space="preserve">are </w:t>
      </w:r>
      <w:r w:rsidRPr="00C97086">
        <w:rPr>
          <w:lang w:eastAsia="en-AU" w:bidi="ar-SA"/>
        </w:rPr>
        <w:t xml:space="preserve">permitted </w:t>
      </w:r>
      <w:r w:rsidR="00B710BF">
        <w:rPr>
          <w:lang w:eastAsia="en-AU" w:bidi="ar-SA"/>
        </w:rPr>
        <w:t xml:space="preserve">for use </w:t>
      </w:r>
      <w:r>
        <w:rPr>
          <w:lang w:eastAsia="en-AU" w:bidi="ar-SA"/>
        </w:rPr>
        <w:t xml:space="preserve">as a preservative in the USA. </w:t>
      </w:r>
      <w:r w:rsidRPr="00CB2641">
        <w:rPr>
          <w:szCs w:val="22"/>
        </w:rPr>
        <w:t xml:space="preserve">Permission to use </w:t>
      </w:r>
      <w:r>
        <w:rPr>
          <w:lang w:eastAsia="en-AU" w:bidi="ar-SA"/>
        </w:rPr>
        <w:t>jelly mushroom glycolipids</w:t>
      </w:r>
      <w:r w:rsidRPr="00B46EB8">
        <w:rPr>
          <w:lang w:eastAsia="en-AU" w:bidi="ar-SA"/>
        </w:rPr>
        <w:t xml:space="preserve"> </w:t>
      </w:r>
      <w:r w:rsidRPr="00CB2641">
        <w:rPr>
          <w:szCs w:val="22"/>
        </w:rPr>
        <w:t>as a food additive, will enable Australian and New Zealand food manufacturers to access and use a product assessed as safe that is available to their overseas competitors. This will improve their capacity t</w:t>
      </w:r>
      <w:r>
        <w:rPr>
          <w:szCs w:val="22"/>
        </w:rPr>
        <w:t>o compete in overseas markets</w:t>
      </w:r>
      <w:r w:rsidRPr="00C97086">
        <w:t>,</w:t>
      </w:r>
      <w:r w:rsidR="00B710BF">
        <w:t xml:space="preserve"> </w:t>
      </w:r>
      <w:r w:rsidR="00C11502" w:rsidRPr="00C97086">
        <w:t>although there may also be competing imports from the</w:t>
      </w:r>
      <w:r w:rsidR="00C11502">
        <w:t xml:space="preserve"> USA </w:t>
      </w:r>
      <w:r w:rsidR="00C11502" w:rsidRPr="00C97086">
        <w:t>into the domestic market.</w:t>
      </w:r>
    </w:p>
    <w:p w14:paraId="096C10DC" w14:textId="77777777" w:rsidR="00C11502" w:rsidRDefault="00C11502" w:rsidP="00C11502">
      <w:pPr>
        <w:rPr>
          <w:szCs w:val="22"/>
        </w:rPr>
      </w:pPr>
    </w:p>
    <w:p w14:paraId="11CF71BC" w14:textId="77777777" w:rsidR="00C11502" w:rsidRDefault="00C11502" w:rsidP="00C11502">
      <w:r>
        <w:rPr>
          <w:szCs w:val="22"/>
        </w:rPr>
        <w:t xml:space="preserve">Permitting </w:t>
      </w:r>
      <w:r>
        <w:rPr>
          <w:lang w:eastAsia="en-AU" w:bidi="ar-SA"/>
        </w:rPr>
        <w:t>jelly mushroom glycolipids</w:t>
      </w:r>
      <w:r>
        <w:rPr>
          <w:szCs w:val="22"/>
        </w:rPr>
        <w:t xml:space="preserve"> may result in a small cost to government in terms of adding it to the current range of food additives that are monitored for compliance.</w:t>
      </w:r>
    </w:p>
    <w:p w14:paraId="5E4AFA68" w14:textId="77777777" w:rsidR="00C11502" w:rsidRDefault="00C11502" w:rsidP="00C11502">
      <w:pPr>
        <w:pStyle w:val="Heading5"/>
      </w:pPr>
      <w:r w:rsidRPr="00FC4551">
        <w:t>Conclusions</w:t>
      </w:r>
      <w:r>
        <w:t xml:space="preserve"> from cost benefit considerations</w:t>
      </w:r>
    </w:p>
    <w:p w14:paraId="7D756210" w14:textId="06B52A9A" w:rsidR="00C11502" w:rsidRDefault="00C11502" w:rsidP="00C11502">
      <w:r>
        <w:rPr>
          <w:szCs w:val="22"/>
        </w:rPr>
        <w:t>FSANZ</w:t>
      </w:r>
      <w:r w:rsidR="00B710BF">
        <w:rPr>
          <w:szCs w:val="22"/>
        </w:rPr>
        <w:t xml:space="preserve"> concluded </w:t>
      </w:r>
      <w:r>
        <w:rPr>
          <w:szCs w:val="22"/>
        </w:rPr>
        <w:t xml:space="preserve">that the direct and indirect benefits that would arise from permitting </w:t>
      </w:r>
      <w:r>
        <w:rPr>
          <w:lang w:eastAsia="en-AU" w:bidi="ar-SA"/>
        </w:rPr>
        <w:t>jelly mushroom glycolipids</w:t>
      </w:r>
      <w:r>
        <w:rPr>
          <w:szCs w:val="22"/>
        </w:rPr>
        <w:t xml:space="preserve"> </w:t>
      </w:r>
      <w:r w:rsidR="00F23FB1">
        <w:rPr>
          <w:szCs w:val="22"/>
        </w:rPr>
        <w:t xml:space="preserve">to be used </w:t>
      </w:r>
      <w:r>
        <w:rPr>
          <w:szCs w:val="22"/>
        </w:rPr>
        <w:t>as a food additive in non-alcoholic drinks most likely outweigh the associated costs.</w:t>
      </w:r>
    </w:p>
    <w:p w14:paraId="494870A6" w14:textId="77777777" w:rsidR="002C1A3B" w:rsidRPr="002C1A3B" w:rsidRDefault="002C1A3B" w:rsidP="002C1A3B">
      <w:pPr>
        <w:pStyle w:val="Heading4"/>
      </w:pPr>
      <w:r w:rsidRPr="002C1A3B">
        <w:t>2.5.1.2</w:t>
      </w:r>
      <w:r w:rsidRPr="002C1A3B">
        <w:tab/>
        <w:t>Other measures</w:t>
      </w:r>
    </w:p>
    <w:p w14:paraId="7B16675E" w14:textId="642AE8E3" w:rsidR="002C1A3B" w:rsidRPr="00C11502" w:rsidRDefault="002C1A3B" w:rsidP="002C1A3B">
      <w:r w:rsidRPr="002C1A3B">
        <w:t xml:space="preserve">There are no other measures (whether available to FSANZ or not) that would be more cost-effective than a food regulatory measure developed or varied as a result of the </w:t>
      </w:r>
      <w:r w:rsidR="00C11502" w:rsidRPr="00C11502">
        <w:t>Application</w:t>
      </w:r>
      <w:r w:rsidRPr="00C11502">
        <w:t>.</w:t>
      </w:r>
    </w:p>
    <w:p w14:paraId="258883E6" w14:textId="77777777" w:rsidR="002C1A3B" w:rsidRPr="002C1A3B" w:rsidRDefault="002C1A3B" w:rsidP="002C1A3B">
      <w:pPr>
        <w:pStyle w:val="Heading4"/>
      </w:pPr>
      <w:r w:rsidRPr="002C1A3B">
        <w:t>2.5.1.3</w:t>
      </w:r>
      <w:r w:rsidRPr="002C1A3B">
        <w:tab/>
        <w:t>Any relevant New Zealand standards</w:t>
      </w:r>
    </w:p>
    <w:p w14:paraId="0138E70D" w14:textId="7FB2E002" w:rsidR="002C1A3B" w:rsidRPr="002C1A3B" w:rsidRDefault="00C11502" w:rsidP="002C1A3B">
      <w:pPr>
        <w:rPr>
          <w:lang w:bidi="ar-SA"/>
        </w:rPr>
      </w:pPr>
      <w:r>
        <w:rPr>
          <w:lang w:bidi="ar-SA"/>
        </w:rPr>
        <w:t xml:space="preserve">The </w:t>
      </w:r>
      <w:r w:rsidR="00317ADC">
        <w:rPr>
          <w:lang w:bidi="ar-SA"/>
        </w:rPr>
        <w:t xml:space="preserve">relevant </w:t>
      </w:r>
      <w:r>
        <w:rPr>
          <w:lang w:bidi="ar-SA"/>
        </w:rPr>
        <w:t xml:space="preserve">Standards apply in both Australia and New Zealand. </w:t>
      </w:r>
      <w:r w:rsidR="002C1A3B" w:rsidRPr="002C1A3B">
        <w:rPr>
          <w:lang w:bidi="ar-SA"/>
        </w:rPr>
        <w:t xml:space="preserve">There are no relevant New Zealand </w:t>
      </w:r>
      <w:r w:rsidR="00B710BF">
        <w:rPr>
          <w:lang w:bidi="ar-SA"/>
        </w:rPr>
        <w:t xml:space="preserve">only </w:t>
      </w:r>
      <w:r w:rsidR="002C1A3B" w:rsidRPr="002C1A3B">
        <w:rPr>
          <w:lang w:bidi="ar-SA"/>
        </w:rPr>
        <w:t>Standards.</w:t>
      </w:r>
    </w:p>
    <w:p w14:paraId="5DBA1589" w14:textId="4C9DCF1A" w:rsidR="001F7F63" w:rsidRDefault="002C1A3B" w:rsidP="00C11502">
      <w:pPr>
        <w:pStyle w:val="Heading4"/>
      </w:pPr>
      <w:r w:rsidRPr="002C1A3B">
        <w:t>2.5.1.4</w:t>
      </w:r>
      <w:r w:rsidRPr="002C1A3B">
        <w:tab/>
        <w:t>Any other relevant matters</w:t>
      </w:r>
      <w:bookmarkStart w:id="117" w:name="_Toc370223479"/>
      <w:bookmarkStart w:id="118" w:name="_Toc370225394"/>
      <w:bookmarkStart w:id="119" w:name="_Toc300761897"/>
      <w:bookmarkStart w:id="120" w:name="_Toc300933440"/>
    </w:p>
    <w:p w14:paraId="46D91378" w14:textId="77777777" w:rsidR="001F7F63" w:rsidRDefault="001F7F63" w:rsidP="001F7F63">
      <w:pPr>
        <w:rPr>
          <w:lang w:bidi="ar-SA"/>
        </w:rPr>
      </w:pPr>
      <w:r>
        <w:t>Other relevant matters are considered below</w:t>
      </w:r>
      <w:r>
        <w:rPr>
          <w:lang w:bidi="ar-SA"/>
        </w:rPr>
        <w:t>.</w:t>
      </w:r>
      <w:r>
        <w:t xml:space="preserve"> </w:t>
      </w:r>
    </w:p>
    <w:p w14:paraId="10CCAF40" w14:textId="77777777" w:rsidR="002C1A3B" w:rsidRPr="002C1A3B" w:rsidRDefault="002C1A3B" w:rsidP="002C1A3B">
      <w:pPr>
        <w:pStyle w:val="Heading3"/>
      </w:pPr>
      <w:bookmarkStart w:id="121" w:name="_Toc53137965"/>
      <w:r w:rsidRPr="002C1A3B">
        <w:t>2.5.2.</w:t>
      </w:r>
      <w:r w:rsidRPr="002C1A3B">
        <w:tab/>
        <w:t>Subsection 18(1)</w:t>
      </w:r>
      <w:bookmarkEnd w:id="117"/>
      <w:bookmarkEnd w:id="118"/>
      <w:bookmarkEnd w:id="121"/>
      <w:r w:rsidRPr="002C1A3B">
        <w:t xml:space="preserve"> </w:t>
      </w:r>
      <w:bookmarkEnd w:id="119"/>
      <w:bookmarkEnd w:id="120"/>
    </w:p>
    <w:p w14:paraId="176BD6C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56AEFE54" w14:textId="71521874" w:rsidR="00203B18" w:rsidRDefault="002C1A3B" w:rsidP="00203B18">
      <w:pPr>
        <w:pStyle w:val="Heading4"/>
        <w:rPr>
          <w:lang w:eastAsia="en-AU"/>
        </w:rPr>
      </w:pPr>
      <w:bookmarkStart w:id="122" w:name="_Toc297029117"/>
      <w:bookmarkStart w:id="123" w:name="_Toc300761898"/>
      <w:bookmarkStart w:id="124" w:name="_Toc300933441"/>
      <w:r w:rsidRPr="002C1A3B">
        <w:rPr>
          <w:lang w:eastAsia="en-AU"/>
        </w:rPr>
        <w:t>2.5.2.1</w:t>
      </w:r>
      <w:r w:rsidRPr="002C1A3B">
        <w:rPr>
          <w:lang w:eastAsia="en-AU"/>
        </w:rPr>
        <w:tab/>
        <w:t>Protection of public health and safety</w:t>
      </w:r>
      <w:bookmarkStart w:id="125" w:name="_Toc300761899"/>
      <w:bookmarkStart w:id="126" w:name="_Toc300933442"/>
      <w:bookmarkEnd w:id="122"/>
      <w:bookmarkEnd w:id="123"/>
      <w:bookmarkEnd w:id="124"/>
      <w:r w:rsidR="00C11502">
        <w:t xml:space="preserve"> </w:t>
      </w:r>
    </w:p>
    <w:p w14:paraId="7BD5126E" w14:textId="03E98561" w:rsidR="00C11502" w:rsidRPr="00BE3818" w:rsidRDefault="00203B18" w:rsidP="00C11502">
      <w:r w:rsidRPr="00B710BF">
        <w:t>FSANZ</w:t>
      </w:r>
      <w:r>
        <w:t xml:space="preserve"> concluded from its risk assessment</w:t>
      </w:r>
      <w:r w:rsidRPr="00B710BF">
        <w:t xml:space="preserve"> that there are no safety concerns associated with </w:t>
      </w:r>
      <w:r>
        <w:t xml:space="preserve">using </w:t>
      </w:r>
      <w:r>
        <w:rPr>
          <w:lang w:eastAsia="en-AU" w:bidi="ar-SA"/>
        </w:rPr>
        <w:t>jelly mushroom glycolipids as a preservative in non-alcoholic drinks at the specified maximum permitted levels</w:t>
      </w:r>
      <w:r w:rsidRPr="00B710BF">
        <w:t>. For more detail, see SD1</w:t>
      </w:r>
      <w:r>
        <w:t>.</w:t>
      </w:r>
    </w:p>
    <w:p w14:paraId="5616BD60"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125"/>
      <w:bookmarkEnd w:id="126"/>
    </w:p>
    <w:p w14:paraId="743F229C" w14:textId="685F69EC" w:rsidR="00203B18" w:rsidRDefault="00A07838" w:rsidP="002C1A3B">
      <w:r>
        <w:t>FSANZ considers that</w:t>
      </w:r>
      <w:r w:rsidRPr="00DE3478">
        <w:t xml:space="preserve"> </w:t>
      </w:r>
      <w:r>
        <w:t xml:space="preserve">existing </w:t>
      </w:r>
      <w:r w:rsidR="00C11502" w:rsidRPr="00DE3478">
        <w:t>labelling requirements</w:t>
      </w:r>
      <w:r>
        <w:t xml:space="preserve"> which would apply to</w:t>
      </w:r>
      <w:r w:rsidR="00C11502">
        <w:t xml:space="preserve"> jelly mushroom glycolipids</w:t>
      </w:r>
      <w:r>
        <w:t>,</w:t>
      </w:r>
      <w:r w:rsidR="00C11502">
        <w:t xml:space="preserve"> </w:t>
      </w:r>
      <w:r>
        <w:t>as</w:t>
      </w:r>
      <w:r w:rsidR="00C11502">
        <w:t xml:space="preserve"> discussed in section 2.</w:t>
      </w:r>
      <w:r>
        <w:t>3</w:t>
      </w:r>
      <w:r w:rsidR="00C11502">
        <w:t>.1</w:t>
      </w:r>
      <w:r>
        <w:t>, would</w:t>
      </w:r>
      <w:r w:rsidR="00C11502">
        <w:t xml:space="preserve"> provide </w:t>
      </w:r>
      <w:r>
        <w:t xml:space="preserve">sufficient </w:t>
      </w:r>
      <w:r w:rsidR="00C11502">
        <w:t>information to enable consumers</w:t>
      </w:r>
      <w:r w:rsidR="00203B18">
        <w:t xml:space="preserve"> to make informed food choices.</w:t>
      </w:r>
    </w:p>
    <w:p w14:paraId="195438A9" w14:textId="748E2A5F" w:rsidR="00203B18" w:rsidRDefault="002C1A3B" w:rsidP="00203B18">
      <w:pPr>
        <w:pStyle w:val="Heading4"/>
        <w:ind w:left="0" w:firstLine="0"/>
      </w:pPr>
      <w:bookmarkStart w:id="127" w:name="_Toc300761900"/>
      <w:bookmarkStart w:id="128" w:name="_Toc300933443"/>
      <w:r w:rsidRPr="002C1A3B">
        <w:rPr>
          <w:lang w:eastAsia="en-AU"/>
        </w:rPr>
        <w:t>2.5.2.3</w:t>
      </w:r>
      <w:r w:rsidRPr="002C1A3B">
        <w:rPr>
          <w:lang w:eastAsia="en-AU"/>
        </w:rPr>
        <w:tab/>
        <w:t>The prevention of misleading or deceptive conduct</w:t>
      </w:r>
      <w:bookmarkEnd w:id="127"/>
      <w:bookmarkEnd w:id="128"/>
    </w:p>
    <w:p w14:paraId="19A53BE8" w14:textId="1A4711E1" w:rsidR="00203B18" w:rsidRPr="00A12784" w:rsidRDefault="00A12784" w:rsidP="00203B18">
      <w:pPr>
        <w:rPr>
          <w:szCs w:val="22"/>
        </w:rPr>
      </w:pPr>
      <w:r>
        <w:rPr>
          <w:color w:val="000000" w:themeColor="text1"/>
          <w:szCs w:val="22"/>
        </w:rPr>
        <w:t>See the discussion at section 2.3.1</w:t>
      </w:r>
      <w:r w:rsidR="00203B18" w:rsidRPr="00A12784">
        <w:rPr>
          <w:color w:val="000000" w:themeColor="text1"/>
          <w:szCs w:val="22"/>
        </w:rPr>
        <w:t>.</w:t>
      </w:r>
    </w:p>
    <w:p w14:paraId="7183F1D0" w14:textId="77777777" w:rsidR="002C1A3B" w:rsidRPr="002C1A3B" w:rsidRDefault="002C1A3B" w:rsidP="002C1A3B">
      <w:pPr>
        <w:keepNext/>
        <w:spacing w:before="240" w:after="240"/>
        <w:ind w:left="851" w:hanging="851"/>
        <w:outlineLvl w:val="2"/>
        <w:rPr>
          <w:b/>
          <w:bCs/>
          <w:lang w:eastAsia="en-AU" w:bidi="ar-SA"/>
        </w:rPr>
      </w:pPr>
      <w:bookmarkStart w:id="129" w:name="_Toc300761901"/>
      <w:bookmarkStart w:id="130" w:name="_Toc300933444"/>
      <w:bookmarkStart w:id="131" w:name="_Toc370223480"/>
      <w:bookmarkStart w:id="132" w:name="_Toc370225395"/>
      <w:r w:rsidRPr="002C1A3B">
        <w:rPr>
          <w:b/>
          <w:bCs/>
          <w:lang w:eastAsia="en-AU" w:bidi="ar-SA"/>
        </w:rPr>
        <w:t>2.5.3</w:t>
      </w:r>
      <w:r w:rsidRPr="002C1A3B">
        <w:rPr>
          <w:b/>
          <w:bCs/>
          <w:lang w:eastAsia="en-AU" w:bidi="ar-SA"/>
        </w:rPr>
        <w:tab/>
        <w:t xml:space="preserve">Subsection 18(2) </w:t>
      </w:r>
      <w:bookmarkEnd w:id="129"/>
      <w:bookmarkEnd w:id="130"/>
      <w:r w:rsidRPr="002C1A3B">
        <w:rPr>
          <w:b/>
          <w:bCs/>
          <w:lang w:eastAsia="en-AU" w:bidi="ar-SA"/>
        </w:rPr>
        <w:t>considerations</w:t>
      </w:r>
      <w:bookmarkEnd w:id="131"/>
      <w:bookmarkEnd w:id="132"/>
    </w:p>
    <w:p w14:paraId="6DE0AB33" w14:textId="77777777" w:rsidR="002C1A3B" w:rsidRPr="002C1A3B" w:rsidRDefault="002C1A3B" w:rsidP="002C1A3B">
      <w:pPr>
        <w:rPr>
          <w:rFonts w:cs="Arial"/>
        </w:rPr>
      </w:pPr>
      <w:r w:rsidRPr="002C1A3B">
        <w:rPr>
          <w:rFonts w:cs="Arial"/>
        </w:rPr>
        <w:t>FSANZ has also had regard to:</w:t>
      </w:r>
    </w:p>
    <w:p w14:paraId="5F14C06E" w14:textId="77777777" w:rsidR="002C1A3B" w:rsidRPr="002C1A3B" w:rsidRDefault="002C1A3B" w:rsidP="002C1A3B">
      <w:pPr>
        <w:rPr>
          <w:rFonts w:cs="Arial"/>
        </w:rPr>
      </w:pPr>
    </w:p>
    <w:p w14:paraId="3A27345F"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0D10F662" w14:textId="77777777" w:rsidR="002C1A3B" w:rsidRPr="002C1A3B" w:rsidRDefault="002C1A3B" w:rsidP="002C1A3B">
      <w:pPr>
        <w:rPr>
          <w:lang w:bidi="ar-SA"/>
        </w:rPr>
      </w:pPr>
    </w:p>
    <w:p w14:paraId="7AF382DB" w14:textId="0B138A3D" w:rsidR="00C11502" w:rsidRPr="00BE3818" w:rsidRDefault="00C11502" w:rsidP="00C11502">
      <w:r>
        <w:t xml:space="preserve">FSANZ has used the best available scientific evidence to conduct the food technology, </w:t>
      </w:r>
      <w:r w:rsidR="00203B18">
        <w:t xml:space="preserve">risk </w:t>
      </w:r>
      <w:r>
        <w:t>and dietary exposure assessment (SD1). The applicant submitted supporting information, including scientific studies, product information and relevant literature, as part of their application. FSANZ also considered other information relevant to the application (referenced in the document and reference list)</w:t>
      </w:r>
      <w:r w:rsidRPr="007C5ED7">
        <w:t>.</w:t>
      </w:r>
    </w:p>
    <w:p w14:paraId="578FA355" w14:textId="77777777" w:rsidR="002C1A3B" w:rsidRPr="002C1A3B" w:rsidRDefault="002C1A3B" w:rsidP="002C1A3B">
      <w:pPr>
        <w:rPr>
          <w:lang w:bidi="ar-SA"/>
        </w:rPr>
      </w:pPr>
    </w:p>
    <w:p w14:paraId="3C79D49D" w14:textId="77777777" w:rsidR="002C1A3B" w:rsidRPr="002C1A3B" w:rsidRDefault="002C1A3B" w:rsidP="002C1A3B">
      <w:pPr>
        <w:pStyle w:val="FSBullet1"/>
        <w:rPr>
          <w:b/>
        </w:rPr>
      </w:pPr>
      <w:r w:rsidRPr="002C1A3B">
        <w:rPr>
          <w:b/>
        </w:rPr>
        <w:t>the promotion of consistency between domestic and international food standards</w:t>
      </w:r>
    </w:p>
    <w:p w14:paraId="28DE519F" w14:textId="77777777" w:rsidR="002C1A3B" w:rsidRPr="002C1A3B" w:rsidRDefault="002C1A3B" w:rsidP="002C1A3B">
      <w:pPr>
        <w:rPr>
          <w:lang w:bidi="ar-SA"/>
        </w:rPr>
      </w:pPr>
    </w:p>
    <w:p w14:paraId="4C4E0D82" w14:textId="77777777" w:rsidR="00C11502" w:rsidRPr="00CD5522" w:rsidRDefault="00C11502" w:rsidP="00C11502">
      <w:bookmarkStart w:id="133" w:name="_Hlk528591493"/>
      <w:bookmarkStart w:id="134" w:name="_Hlk516831521"/>
      <w:r>
        <w:t>Jelly mushroom glycolipids</w:t>
      </w:r>
      <w:r w:rsidRPr="00844890">
        <w:t xml:space="preserve"> </w:t>
      </w:r>
      <w:r>
        <w:t>are</w:t>
      </w:r>
      <w:r w:rsidRPr="00844890">
        <w:t xml:space="preserve"> </w:t>
      </w:r>
      <w:r>
        <w:t>GRAS</w:t>
      </w:r>
      <w:r w:rsidRPr="00844890">
        <w:t xml:space="preserve"> in the USA</w:t>
      </w:r>
      <w:bookmarkEnd w:id="133"/>
      <w:r w:rsidRPr="00844890">
        <w:t xml:space="preserve"> for the</w:t>
      </w:r>
      <w:r>
        <w:t xml:space="preserve"> preservative</w:t>
      </w:r>
      <w:r w:rsidRPr="00844890">
        <w:t xml:space="preserve"> purpose proposed (GRN 740)</w:t>
      </w:r>
      <w:bookmarkEnd w:id="134"/>
      <w:r>
        <w:rPr>
          <w:rStyle w:val="FootnoteReference"/>
        </w:rPr>
        <w:footnoteReference w:id="7"/>
      </w:r>
      <w:r w:rsidRPr="00C24F92">
        <w:t xml:space="preserve">. </w:t>
      </w:r>
      <w:r w:rsidRPr="004C3D81">
        <w:t xml:space="preserve">The Applicant is reportedly in the process of seeking permissions for the use of jelly mushroom glycolipids in the European Union. </w:t>
      </w:r>
    </w:p>
    <w:p w14:paraId="0B5AD2DA" w14:textId="77777777" w:rsidR="002C1A3B" w:rsidRPr="002C1A3B" w:rsidRDefault="002C1A3B" w:rsidP="002C1A3B">
      <w:pPr>
        <w:rPr>
          <w:lang w:bidi="ar-SA"/>
        </w:rPr>
      </w:pPr>
    </w:p>
    <w:p w14:paraId="3657AFDD" w14:textId="77777777" w:rsidR="002C1A3B" w:rsidRPr="002C1A3B" w:rsidRDefault="002C1A3B" w:rsidP="002C1A3B">
      <w:pPr>
        <w:pStyle w:val="FSBullet1"/>
        <w:rPr>
          <w:b/>
        </w:rPr>
      </w:pPr>
      <w:r w:rsidRPr="002C1A3B">
        <w:rPr>
          <w:b/>
        </w:rPr>
        <w:t>the desirability of an efficient and internationally competitive food industry</w:t>
      </w:r>
    </w:p>
    <w:p w14:paraId="5D0293BD" w14:textId="77777777" w:rsidR="002C1A3B" w:rsidRPr="002C1A3B" w:rsidRDefault="002C1A3B" w:rsidP="002C1A3B">
      <w:pPr>
        <w:rPr>
          <w:lang w:bidi="ar-SA"/>
        </w:rPr>
      </w:pPr>
    </w:p>
    <w:p w14:paraId="111AEA5D" w14:textId="67D50153" w:rsidR="00C11502" w:rsidRPr="00BE3818" w:rsidRDefault="005C71F8" w:rsidP="00C11502">
      <w:r w:rsidRPr="005C71F8">
        <w:t xml:space="preserve">Permission to use </w:t>
      </w:r>
      <w:r>
        <w:t>jelly mushroom glycolipids</w:t>
      </w:r>
      <w:r w:rsidRPr="00844890">
        <w:t xml:space="preserve"> </w:t>
      </w:r>
      <w:r>
        <w:t xml:space="preserve">as a preservative in non-alcoholic beverages </w:t>
      </w:r>
      <w:r w:rsidRPr="005C71F8">
        <w:t xml:space="preserve">will enable Australian and New Zealand manufacturers to access and use a product assessed as safe that is available to some overseas competitors. This will improve </w:t>
      </w:r>
      <w:r w:rsidR="00F23FB1">
        <w:t xml:space="preserve">the </w:t>
      </w:r>
      <w:r w:rsidRPr="005C71F8">
        <w:t xml:space="preserve">capacity </w:t>
      </w:r>
      <w:r w:rsidR="00F23FB1">
        <w:t xml:space="preserve">of those manufacturers </w:t>
      </w:r>
      <w:r w:rsidRPr="005C71F8">
        <w:t xml:space="preserve">to compete in overseas markets. See discussion at section 2.5.1.1 above. </w:t>
      </w:r>
    </w:p>
    <w:p w14:paraId="340BFA6D" w14:textId="77777777" w:rsidR="002C1A3B" w:rsidRPr="002C1A3B" w:rsidRDefault="002C1A3B" w:rsidP="002C1A3B">
      <w:pPr>
        <w:rPr>
          <w:lang w:bidi="ar-SA"/>
        </w:rPr>
      </w:pPr>
    </w:p>
    <w:p w14:paraId="4A92FA8B" w14:textId="77777777" w:rsidR="002C1A3B" w:rsidRPr="002C1A3B" w:rsidRDefault="002C1A3B" w:rsidP="002C1A3B">
      <w:pPr>
        <w:pStyle w:val="FSBullet1"/>
        <w:rPr>
          <w:b/>
        </w:rPr>
      </w:pPr>
      <w:r w:rsidRPr="002C1A3B">
        <w:rPr>
          <w:b/>
        </w:rPr>
        <w:t>the promotion of fair trading in food</w:t>
      </w:r>
    </w:p>
    <w:p w14:paraId="03A28343" w14:textId="77777777" w:rsidR="002C1A3B" w:rsidRPr="002C1A3B" w:rsidRDefault="002C1A3B" w:rsidP="002C1A3B">
      <w:pPr>
        <w:rPr>
          <w:lang w:bidi="ar-SA"/>
        </w:rPr>
      </w:pPr>
    </w:p>
    <w:p w14:paraId="54756B71" w14:textId="43E30FFD" w:rsidR="00F7284F" w:rsidRDefault="00F7284F" w:rsidP="002C1A3B">
      <w:r w:rsidRPr="00F7284F">
        <w:t xml:space="preserve">FSANZ’s assessment based on the best available scientific evidence is that </w:t>
      </w:r>
      <w:r>
        <w:t>jelly mushroom glycolipids</w:t>
      </w:r>
      <w:r w:rsidRPr="00844890">
        <w:t xml:space="preserve"> </w:t>
      </w:r>
      <w:r w:rsidRPr="00F7284F">
        <w:t xml:space="preserve">is safe for </w:t>
      </w:r>
      <w:r w:rsidR="00F23FB1">
        <w:t xml:space="preserve">its proposed </w:t>
      </w:r>
      <w:r w:rsidRPr="00F7284F">
        <w:t>use as a food additive. It is permitted for use elsewhere</w:t>
      </w:r>
      <w:r>
        <w:t xml:space="preserve"> and is</w:t>
      </w:r>
      <w:r w:rsidRPr="00F7284F">
        <w:t xml:space="preserve"> therefore appropriate that Australian and New Zealand food industries can also benefit by gaining permission to use </w:t>
      </w:r>
      <w:r>
        <w:t>it</w:t>
      </w:r>
      <w:r w:rsidRPr="00F7284F">
        <w:t>.</w:t>
      </w:r>
    </w:p>
    <w:p w14:paraId="640EF022" w14:textId="77777777" w:rsidR="002C1A3B" w:rsidRPr="002C1A3B" w:rsidRDefault="002C1A3B" w:rsidP="002C1A3B">
      <w:pPr>
        <w:rPr>
          <w:lang w:bidi="ar-SA"/>
        </w:rPr>
      </w:pPr>
    </w:p>
    <w:p w14:paraId="2C1F2530"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41E27E4D" w14:textId="77777777" w:rsidR="002C1A3B" w:rsidRPr="002C1A3B" w:rsidRDefault="002C1A3B" w:rsidP="002C1A3B">
      <w:pPr>
        <w:rPr>
          <w:lang w:bidi="ar-SA"/>
        </w:rPr>
      </w:pPr>
    </w:p>
    <w:p w14:paraId="1CD13509" w14:textId="77777777" w:rsidR="00C11502" w:rsidRPr="00871CF9" w:rsidRDefault="00C11502" w:rsidP="00C11502">
      <w:pPr>
        <w:keepNext/>
        <w:widowControl/>
      </w:pPr>
      <w:bookmarkStart w:id="135" w:name="_Toc11735642"/>
      <w:bookmarkStart w:id="136" w:name="_Toc29883129"/>
      <w:bookmarkStart w:id="137" w:name="_Toc41906816"/>
      <w:bookmarkStart w:id="138" w:name="_Toc41907563"/>
      <w:bookmarkStart w:id="139" w:name="_Toc120358595"/>
      <w:bookmarkStart w:id="140" w:name="_Toc175381457"/>
      <w:bookmarkEnd w:id="112"/>
      <w:r w:rsidRPr="00871CF9">
        <w:t xml:space="preserve">The </w:t>
      </w:r>
      <w:r>
        <w:t xml:space="preserve">Ministerial Policy Guideline for </w:t>
      </w:r>
      <w:hyperlink r:id="rId14" w:history="1">
        <w:r>
          <w:rPr>
            <w:rStyle w:val="Hyperlink"/>
            <w:szCs w:val="22"/>
          </w:rPr>
          <w:t>Addition to Food of Substances other than Vitamins and Minerals</w:t>
        </w:r>
      </w:hyperlink>
      <w:r w:rsidRPr="00871CF9">
        <w:rPr>
          <w:i/>
          <w:vertAlign w:val="superscript"/>
          <w:lang w:bidi="ar-SA"/>
        </w:rPr>
        <w:footnoteReference w:id="8"/>
      </w:r>
      <w:r w:rsidRPr="00871CF9">
        <w:t xml:space="preserve"> includes specific order policy principles for substances added to achieve a solely technological function, such as </w:t>
      </w:r>
      <w:r>
        <w:t>food additives</w:t>
      </w:r>
      <w:r w:rsidRPr="00871CF9">
        <w:t>. These specific order policy principles state that permission should be granted where:</w:t>
      </w:r>
      <w:r>
        <w:br/>
      </w:r>
    </w:p>
    <w:p w14:paraId="20EC63A0" w14:textId="77777777" w:rsidR="00C11502" w:rsidRPr="00871CF9" w:rsidRDefault="00C11502" w:rsidP="00C11502">
      <w:pPr>
        <w:pStyle w:val="FSBullet1"/>
        <w:numPr>
          <w:ilvl w:val="0"/>
          <w:numId w:val="4"/>
        </w:numPr>
        <w:ind w:left="567" w:hanging="567"/>
      </w:pPr>
      <w:r w:rsidRPr="00871CF9">
        <w:t>the purpose for adding the substance can be articulated clearly by the manufacturer as achieving a solely technological function (i.e. the ‘stated purpose’)</w:t>
      </w:r>
      <w:r>
        <w:t>,</w:t>
      </w:r>
    </w:p>
    <w:p w14:paraId="27B6C44C" w14:textId="77777777" w:rsidR="00C11502" w:rsidRPr="00871CF9" w:rsidRDefault="00C11502" w:rsidP="00C11502">
      <w:pPr>
        <w:pStyle w:val="FSBullet1"/>
        <w:numPr>
          <w:ilvl w:val="0"/>
          <w:numId w:val="4"/>
        </w:numPr>
        <w:ind w:left="567" w:hanging="567"/>
      </w:pPr>
      <w:r w:rsidRPr="00871CF9">
        <w:t>the addition of the substance to food is safe for human consumption</w:t>
      </w:r>
      <w:r>
        <w:t>,</w:t>
      </w:r>
    </w:p>
    <w:p w14:paraId="299562EA" w14:textId="77777777" w:rsidR="00C11502" w:rsidRPr="00871CF9" w:rsidRDefault="00C11502" w:rsidP="00C11502">
      <w:pPr>
        <w:pStyle w:val="FSBullet1"/>
        <w:numPr>
          <w:ilvl w:val="0"/>
          <w:numId w:val="4"/>
        </w:numPr>
        <w:ind w:left="567" w:hanging="567"/>
      </w:pPr>
      <w:r w:rsidRPr="00871CF9">
        <w:t>the amounts added are consistent with achieving the technological function</w:t>
      </w:r>
      <w:r>
        <w:t xml:space="preserve">, </w:t>
      </w:r>
    </w:p>
    <w:p w14:paraId="63007389" w14:textId="77777777" w:rsidR="00C11502" w:rsidRPr="00871CF9" w:rsidRDefault="00C11502" w:rsidP="00C11502">
      <w:pPr>
        <w:pStyle w:val="FSBullet1"/>
        <w:numPr>
          <w:ilvl w:val="0"/>
          <w:numId w:val="4"/>
        </w:numPr>
        <w:ind w:left="567" w:hanging="567"/>
      </w:pPr>
      <w:r w:rsidRPr="00871CF9">
        <w:t>the substance is added in a quantity and a form which is consistent with delivering the stated purpose</w:t>
      </w:r>
      <w:r>
        <w:t xml:space="preserve">, and </w:t>
      </w:r>
    </w:p>
    <w:p w14:paraId="235D4861" w14:textId="77777777" w:rsidR="00C11502" w:rsidRDefault="00C11502" w:rsidP="00C11502">
      <w:pPr>
        <w:pStyle w:val="FSBullet1"/>
        <w:numPr>
          <w:ilvl w:val="0"/>
          <w:numId w:val="4"/>
        </w:numPr>
        <w:ind w:left="567" w:hanging="567"/>
      </w:pPr>
      <w:r w:rsidRPr="008200A6">
        <w:t>no nutrition, health or related claims are to be made in regard to the substance.</w:t>
      </w:r>
    </w:p>
    <w:p w14:paraId="4CAE8382" w14:textId="77777777" w:rsidR="00C11502" w:rsidRDefault="00C11502" w:rsidP="00C11502">
      <w:pPr>
        <w:rPr>
          <w:lang w:bidi="ar-SA"/>
        </w:rPr>
      </w:pPr>
    </w:p>
    <w:p w14:paraId="5DF7FCFF" w14:textId="4400454B" w:rsidR="00C11502" w:rsidRPr="00EB5833" w:rsidRDefault="00C11502" w:rsidP="00C11502">
      <w:r w:rsidRPr="00F05D25">
        <w:t xml:space="preserve">FSANZ has determined that permitting </w:t>
      </w:r>
      <w:r>
        <w:t xml:space="preserve">jelly mushroom glycolipids </w:t>
      </w:r>
      <w:r w:rsidR="00F23FB1">
        <w:t xml:space="preserve">to be used </w:t>
      </w:r>
      <w:r>
        <w:t xml:space="preserve">as a </w:t>
      </w:r>
      <w:r w:rsidR="00F7284F">
        <w:t>preservative</w:t>
      </w:r>
      <w:r w:rsidR="00F7284F" w:rsidRPr="00F05D25">
        <w:t xml:space="preserve"> </w:t>
      </w:r>
      <w:r w:rsidR="00F7284F">
        <w:t xml:space="preserve">in non-alcoholic beverages at the specified </w:t>
      </w:r>
      <w:r w:rsidR="006D1581">
        <w:t>permitted levels</w:t>
      </w:r>
      <w:r w:rsidR="00F7284F">
        <w:t xml:space="preserve"> </w:t>
      </w:r>
      <w:r w:rsidRPr="00F05D25">
        <w:t xml:space="preserve">is consistent with the </w:t>
      </w:r>
      <w:r>
        <w:t xml:space="preserve">Ministerial Policy Guideline. </w:t>
      </w:r>
    </w:p>
    <w:p w14:paraId="55D2119E" w14:textId="65EC665E" w:rsidR="001122EC" w:rsidRPr="00C11502" w:rsidRDefault="002B0E55" w:rsidP="001122EC">
      <w:pPr>
        <w:pStyle w:val="Heading1"/>
      </w:pPr>
      <w:bookmarkStart w:id="141" w:name="_Toc53137966"/>
      <w:bookmarkStart w:id="142" w:name="_Toc11735643"/>
      <w:bookmarkStart w:id="143" w:name="_Toc29883130"/>
      <w:bookmarkStart w:id="144" w:name="_Toc41906817"/>
      <w:bookmarkStart w:id="145" w:name="_Toc41907564"/>
      <w:bookmarkStart w:id="146" w:name="_Toc43112360"/>
      <w:bookmarkEnd w:id="135"/>
      <w:bookmarkEnd w:id="136"/>
      <w:bookmarkEnd w:id="137"/>
      <w:bookmarkEnd w:id="138"/>
      <w:bookmarkEnd w:id="139"/>
      <w:bookmarkEnd w:id="140"/>
      <w:r>
        <w:t>3</w:t>
      </w:r>
      <w:r w:rsidR="001122EC" w:rsidRPr="00C11502">
        <w:tab/>
        <w:t>R</w:t>
      </w:r>
      <w:r w:rsidR="000B427A" w:rsidRPr="00C11502">
        <w:t>eferences</w:t>
      </w:r>
      <w:bookmarkEnd w:id="141"/>
    </w:p>
    <w:p w14:paraId="5DC755F4" w14:textId="77777777" w:rsidR="00C11502" w:rsidRPr="000713D4" w:rsidRDefault="00C11502" w:rsidP="00C11502">
      <w:pPr>
        <w:spacing w:after="240"/>
        <w:rPr>
          <w:sz w:val="20"/>
          <w:szCs w:val="20"/>
          <w:lang w:eastAsia="en-AU"/>
        </w:rPr>
      </w:pPr>
      <w:r w:rsidRPr="000713D4">
        <w:rPr>
          <w:sz w:val="20"/>
          <w:szCs w:val="20"/>
          <w:lang w:eastAsia="en-AU"/>
        </w:rPr>
        <w:t xml:space="preserve">US FDA (2017) GRAS Notice (GRN) No. 740: GRAS Notification for Long-Chain Glycolipids from </w:t>
      </w:r>
      <w:r w:rsidRPr="000713D4">
        <w:rPr>
          <w:i/>
          <w:sz w:val="20"/>
          <w:szCs w:val="20"/>
          <w:lang w:eastAsia="en-AU"/>
        </w:rPr>
        <w:t>Dacryopinax spathularia</w:t>
      </w:r>
      <w:r w:rsidRPr="000713D4">
        <w:rPr>
          <w:sz w:val="20"/>
          <w:szCs w:val="20"/>
          <w:lang w:eastAsia="en-AU"/>
        </w:rPr>
        <w:t xml:space="preserve">. Accessed 3 June 2020. </w:t>
      </w:r>
      <w:hyperlink r:id="rId15" w:history="1">
        <w:r w:rsidRPr="000713D4">
          <w:rPr>
            <w:rStyle w:val="Hyperlink"/>
            <w:sz w:val="20"/>
            <w:szCs w:val="20"/>
            <w:lang w:eastAsia="en-AU"/>
          </w:rPr>
          <w:t>https://www.fda.gov/media/113331/download</w:t>
        </w:r>
      </w:hyperlink>
      <w:r w:rsidRPr="000713D4">
        <w:rPr>
          <w:sz w:val="20"/>
          <w:szCs w:val="20"/>
          <w:lang w:eastAsia="en-AU"/>
        </w:rPr>
        <w:t xml:space="preserve"> </w:t>
      </w:r>
    </w:p>
    <w:p w14:paraId="0C120C20" w14:textId="77777777" w:rsidR="0012388D" w:rsidRDefault="00D15A08" w:rsidP="006C22A7">
      <w:pPr>
        <w:spacing w:before="240"/>
        <w:rPr>
          <w:b/>
          <w:sz w:val="28"/>
          <w:szCs w:val="28"/>
        </w:rPr>
      </w:pPr>
      <w:r w:rsidRPr="006C22A7">
        <w:rPr>
          <w:b/>
          <w:sz w:val="28"/>
          <w:szCs w:val="28"/>
        </w:rPr>
        <w:t>A</w:t>
      </w:r>
      <w:bookmarkEnd w:id="142"/>
      <w:bookmarkEnd w:id="143"/>
      <w:bookmarkEnd w:id="144"/>
      <w:bookmarkEnd w:id="145"/>
      <w:bookmarkEnd w:id="146"/>
      <w:r w:rsidR="00B21055">
        <w:rPr>
          <w:b/>
          <w:sz w:val="28"/>
          <w:szCs w:val="28"/>
        </w:rPr>
        <w:t>ttachments</w:t>
      </w:r>
    </w:p>
    <w:p w14:paraId="2B67F22E" w14:textId="77777777" w:rsidR="006C22A7" w:rsidRDefault="006C22A7" w:rsidP="00755F02"/>
    <w:p w14:paraId="4DC29E49" w14:textId="1C9F7365"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3E3F2C9D"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1E923F63" w14:textId="77777777" w:rsidR="00A25F64" w:rsidRPr="00932F14" w:rsidRDefault="003C4969" w:rsidP="00A25F64">
      <w:pPr>
        <w:pStyle w:val="Heading2"/>
        <w:ind w:left="0" w:firstLine="0"/>
      </w:pPr>
      <w:r w:rsidRPr="00932F14">
        <w:br w:type="page"/>
      </w:r>
      <w:bookmarkStart w:id="147" w:name="_Toc29883131"/>
      <w:bookmarkStart w:id="148" w:name="_Toc41906818"/>
      <w:bookmarkStart w:id="149" w:name="_Toc41907565"/>
      <w:bookmarkStart w:id="150" w:name="_Toc120358596"/>
      <w:bookmarkStart w:id="151" w:name="_Toc175381458"/>
      <w:bookmarkStart w:id="152" w:name="_Toc11735644"/>
      <w:bookmarkStart w:id="153" w:name="_Toc415572037"/>
      <w:bookmarkStart w:id="154" w:name="_Toc45114312"/>
      <w:bookmarkStart w:id="155" w:name="_Toc45480682"/>
      <w:bookmarkStart w:id="156" w:name="_Toc53137967"/>
      <w:bookmarkStart w:id="157" w:name="_Toc120358598"/>
      <w:bookmarkStart w:id="158" w:name="_Toc175381460"/>
    </w:p>
    <w:p w14:paraId="5B6294F7" w14:textId="77777777" w:rsidR="00A25F64" w:rsidRPr="00456BD5" w:rsidRDefault="00A25F64" w:rsidP="00A25F64">
      <w:pPr>
        <w:pStyle w:val="Heading2"/>
        <w:ind w:left="0" w:firstLine="0"/>
      </w:pPr>
      <w:r w:rsidRPr="00932F14">
        <w:t xml:space="preserve">Attachment </w:t>
      </w:r>
      <w:r>
        <w:t xml:space="preserve">A – Approved draft </w:t>
      </w:r>
      <w:r w:rsidRPr="00932F14">
        <w:t>variation to the</w:t>
      </w:r>
      <w:r w:rsidRPr="00755F02">
        <w:t xml:space="preserve"> </w:t>
      </w:r>
      <w:r w:rsidRPr="00795D86">
        <w:rPr>
          <w:i/>
        </w:rPr>
        <w:t>Australia New Zealand Food Standards Code</w:t>
      </w:r>
      <w:r>
        <w:rPr>
          <w:i/>
        </w:rPr>
        <w:t xml:space="preserve"> </w:t>
      </w:r>
    </w:p>
    <w:p w14:paraId="6FF9AFF4" w14:textId="77777777" w:rsidR="00A25F64" w:rsidRPr="00C0014E" w:rsidRDefault="00A25F64" w:rsidP="00A25F64">
      <w:pPr>
        <w:rPr>
          <w:noProof/>
          <w:sz w:val="20"/>
          <w:lang w:val="en-AU" w:eastAsia="en-AU"/>
        </w:rPr>
      </w:pPr>
      <w:r w:rsidRPr="00C0014E">
        <w:rPr>
          <w:noProof/>
          <w:sz w:val="20"/>
          <w:lang w:eastAsia="en-GB" w:bidi="ar-SA"/>
        </w:rPr>
        <w:drawing>
          <wp:inline distT="0" distB="0" distL="0" distR="0" wp14:anchorId="53D072C9" wp14:editId="7ED077D6">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8E016E1" w14:textId="77777777" w:rsidR="00A25F64" w:rsidRPr="006153A1" w:rsidRDefault="00A25F64" w:rsidP="00A25F64">
      <w:pPr>
        <w:pBdr>
          <w:bottom w:val="single" w:sz="4" w:space="1" w:color="auto"/>
        </w:pBdr>
        <w:rPr>
          <w:b/>
          <w:bCs/>
        </w:rPr>
      </w:pPr>
    </w:p>
    <w:p w14:paraId="27DA9DAA" w14:textId="77777777" w:rsidR="00A25F64" w:rsidRDefault="00A25F64" w:rsidP="00A25F64">
      <w:pPr>
        <w:pBdr>
          <w:bottom w:val="single" w:sz="4" w:space="1" w:color="auto"/>
        </w:pBdr>
        <w:rPr>
          <w:b/>
          <w:sz w:val="20"/>
        </w:rPr>
      </w:pPr>
      <w:r w:rsidRPr="006153A1">
        <w:rPr>
          <w:b/>
          <w:sz w:val="20"/>
        </w:rPr>
        <w:t>Food Standards (</w:t>
      </w:r>
      <w:r w:rsidRPr="00F618DF">
        <w:rPr>
          <w:b/>
          <w:sz w:val="20"/>
        </w:rPr>
        <w:t>Application A</w:t>
      </w:r>
      <w:r>
        <w:rPr>
          <w:b/>
          <w:sz w:val="20"/>
        </w:rPr>
        <w:t>1180</w:t>
      </w:r>
      <w:r w:rsidRPr="00F618DF">
        <w:rPr>
          <w:b/>
          <w:sz w:val="20"/>
        </w:rPr>
        <w:t xml:space="preserve"> </w:t>
      </w:r>
      <w:r w:rsidRPr="00A32232">
        <w:rPr>
          <w:b/>
          <w:sz w:val="20"/>
        </w:rPr>
        <w:t>–</w:t>
      </w:r>
      <w:r>
        <w:rPr>
          <w:b/>
          <w:sz w:val="20"/>
        </w:rPr>
        <w:t xml:space="preserve"> </w:t>
      </w:r>
      <w:r w:rsidRPr="0072033A">
        <w:rPr>
          <w:b/>
          <w:sz w:val="20"/>
        </w:rPr>
        <w:t>Natural Glycolipids as a preservative in non-alcoholic beverages</w:t>
      </w:r>
      <w:r>
        <w:rPr>
          <w:b/>
          <w:sz w:val="20"/>
        </w:rPr>
        <w:t>)</w:t>
      </w:r>
      <w:r w:rsidRPr="00C0014E">
        <w:rPr>
          <w:b/>
          <w:sz w:val="20"/>
        </w:rPr>
        <w:t xml:space="preserve"> Variation</w:t>
      </w:r>
    </w:p>
    <w:p w14:paraId="08DF5A21" w14:textId="77777777" w:rsidR="00A25F64" w:rsidRPr="00C0014E" w:rsidRDefault="00A25F64" w:rsidP="00A25F64">
      <w:pPr>
        <w:pBdr>
          <w:bottom w:val="single" w:sz="4" w:space="1" w:color="auto"/>
        </w:pBdr>
        <w:rPr>
          <w:b/>
          <w:sz w:val="20"/>
        </w:rPr>
      </w:pPr>
    </w:p>
    <w:p w14:paraId="7B914F85" w14:textId="77777777" w:rsidR="00A25F64" w:rsidRPr="008F2616" w:rsidRDefault="00A25F64" w:rsidP="00A25F64">
      <w:pPr>
        <w:rPr>
          <w:sz w:val="20"/>
        </w:rPr>
      </w:pPr>
    </w:p>
    <w:p w14:paraId="10A48F9D" w14:textId="77777777" w:rsidR="00A25F64" w:rsidRPr="008F2616" w:rsidRDefault="00A25F64" w:rsidP="00A25F64">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14263BE6" w14:textId="77777777" w:rsidR="00A25F64" w:rsidRPr="008F2616" w:rsidRDefault="00A25F64" w:rsidP="00A25F64">
      <w:pPr>
        <w:rPr>
          <w:sz w:val="20"/>
        </w:rPr>
      </w:pPr>
    </w:p>
    <w:p w14:paraId="19D4B36F" w14:textId="77777777" w:rsidR="00A25F64" w:rsidRPr="008F2616" w:rsidRDefault="00A25F64" w:rsidP="00A25F64">
      <w:pPr>
        <w:rPr>
          <w:sz w:val="20"/>
        </w:rPr>
      </w:pPr>
      <w:r w:rsidRPr="008F2616">
        <w:rPr>
          <w:sz w:val="20"/>
        </w:rPr>
        <w:t xml:space="preserve">Dated </w:t>
      </w:r>
      <w:r>
        <w:rPr>
          <w:sz w:val="20"/>
        </w:rPr>
        <w:t>[To be completed by Delegate]</w:t>
      </w:r>
    </w:p>
    <w:p w14:paraId="0FF46ABD" w14:textId="77777777" w:rsidR="00A25F64" w:rsidRPr="008F2616" w:rsidRDefault="00A25F64" w:rsidP="00A25F64">
      <w:pPr>
        <w:rPr>
          <w:sz w:val="20"/>
        </w:rPr>
      </w:pPr>
    </w:p>
    <w:p w14:paraId="2EAF9E17" w14:textId="77777777" w:rsidR="00A25F64" w:rsidRDefault="00A25F64" w:rsidP="00A25F64">
      <w:pPr>
        <w:rPr>
          <w:sz w:val="20"/>
        </w:rPr>
      </w:pPr>
    </w:p>
    <w:p w14:paraId="2250B27F" w14:textId="77777777" w:rsidR="00A25F64" w:rsidRDefault="00A25F64" w:rsidP="00A25F64">
      <w:pPr>
        <w:rPr>
          <w:sz w:val="20"/>
        </w:rPr>
      </w:pPr>
    </w:p>
    <w:p w14:paraId="0CDC7952" w14:textId="77777777" w:rsidR="00A25F64" w:rsidRPr="008F2616" w:rsidRDefault="00A25F64" w:rsidP="00A25F64">
      <w:pPr>
        <w:rPr>
          <w:sz w:val="20"/>
        </w:rPr>
      </w:pPr>
    </w:p>
    <w:p w14:paraId="012707B3" w14:textId="77777777" w:rsidR="00A25F64" w:rsidRPr="008F2616" w:rsidRDefault="00A25F64" w:rsidP="00A25F64">
      <w:pPr>
        <w:rPr>
          <w:sz w:val="20"/>
        </w:rPr>
      </w:pPr>
    </w:p>
    <w:p w14:paraId="515F0763" w14:textId="77777777" w:rsidR="00A25F64" w:rsidRPr="008F2616" w:rsidRDefault="00A25F64" w:rsidP="00A25F64">
      <w:pPr>
        <w:rPr>
          <w:sz w:val="20"/>
        </w:rPr>
      </w:pPr>
      <w:r>
        <w:rPr>
          <w:sz w:val="20"/>
        </w:rPr>
        <w:t>[Name of Delegate]</w:t>
      </w:r>
    </w:p>
    <w:p w14:paraId="45AB44FF" w14:textId="77777777" w:rsidR="00A25F64" w:rsidRPr="008F2616" w:rsidRDefault="00A25F64" w:rsidP="00A25F64">
      <w:pPr>
        <w:rPr>
          <w:sz w:val="20"/>
        </w:rPr>
      </w:pPr>
      <w:r w:rsidRPr="008F2616">
        <w:rPr>
          <w:sz w:val="20"/>
        </w:rPr>
        <w:t>Delegate of the Board of Food Standards Australia New Zealand</w:t>
      </w:r>
    </w:p>
    <w:p w14:paraId="5682BC62" w14:textId="77777777" w:rsidR="00A25F64" w:rsidRDefault="00A25F64" w:rsidP="00A25F64">
      <w:pPr>
        <w:rPr>
          <w:sz w:val="20"/>
        </w:rPr>
      </w:pPr>
    </w:p>
    <w:p w14:paraId="7081DBF5" w14:textId="77777777" w:rsidR="00A25F64" w:rsidRDefault="00A25F64" w:rsidP="00A25F64">
      <w:pPr>
        <w:rPr>
          <w:sz w:val="20"/>
        </w:rPr>
      </w:pPr>
    </w:p>
    <w:p w14:paraId="40E03679" w14:textId="77777777" w:rsidR="00A25F64" w:rsidRDefault="00A25F64" w:rsidP="00A25F64">
      <w:pPr>
        <w:rPr>
          <w:sz w:val="20"/>
        </w:rPr>
      </w:pPr>
    </w:p>
    <w:p w14:paraId="74968C28" w14:textId="77777777" w:rsidR="00A25F64" w:rsidRDefault="00A25F64" w:rsidP="00A25F64">
      <w:pPr>
        <w:rPr>
          <w:sz w:val="20"/>
        </w:rPr>
      </w:pPr>
    </w:p>
    <w:p w14:paraId="4E8BD051" w14:textId="77777777" w:rsidR="00A25F64" w:rsidRDefault="00A25F64" w:rsidP="00A25F64">
      <w:pPr>
        <w:rPr>
          <w:sz w:val="20"/>
        </w:rPr>
      </w:pPr>
    </w:p>
    <w:p w14:paraId="64C3A1F1" w14:textId="77777777" w:rsidR="00A25F64" w:rsidRPr="00360C8F" w:rsidRDefault="00A25F64" w:rsidP="00A25F64">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402897AE" w14:textId="77777777" w:rsidR="00A25F64" w:rsidRPr="00360C8F" w:rsidRDefault="00A25F64" w:rsidP="00A25F64">
      <w:pPr>
        <w:pBdr>
          <w:top w:val="single" w:sz="4" w:space="1" w:color="auto"/>
          <w:left w:val="single" w:sz="4" w:space="4" w:color="auto"/>
          <w:bottom w:val="single" w:sz="4" w:space="1" w:color="auto"/>
          <w:right w:val="single" w:sz="4" w:space="4" w:color="auto"/>
        </w:pBdr>
        <w:rPr>
          <w:sz w:val="20"/>
          <w:lang w:val="en-AU"/>
        </w:rPr>
      </w:pPr>
    </w:p>
    <w:p w14:paraId="704FD516" w14:textId="77777777" w:rsidR="00A25F64" w:rsidRPr="00360C8F" w:rsidRDefault="00A25F64" w:rsidP="00A25F64">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41AE95E4" w14:textId="77777777" w:rsidR="00A25F64" w:rsidRDefault="00A25F64" w:rsidP="00A25F64">
      <w:pPr>
        <w:rPr>
          <w:sz w:val="20"/>
        </w:rPr>
      </w:pPr>
    </w:p>
    <w:p w14:paraId="61B9310E" w14:textId="77777777" w:rsidR="00A25F64" w:rsidRDefault="00A25F64" w:rsidP="00A25F64">
      <w:pPr>
        <w:widowControl/>
        <w:rPr>
          <w:sz w:val="20"/>
        </w:rPr>
      </w:pPr>
      <w:r>
        <w:rPr>
          <w:sz w:val="20"/>
        </w:rPr>
        <w:br w:type="page"/>
      </w:r>
    </w:p>
    <w:p w14:paraId="189BCF23" w14:textId="77777777" w:rsidR="00A25F64" w:rsidRPr="005F585D" w:rsidRDefault="00A25F64" w:rsidP="00A25F64">
      <w:pPr>
        <w:pStyle w:val="FSCDraftingitemheading"/>
      </w:pPr>
      <w:r w:rsidRPr="00D433B1">
        <w:t>1</w:t>
      </w:r>
      <w:r w:rsidRPr="00D433B1">
        <w:tab/>
        <w:t>Name</w:t>
      </w:r>
    </w:p>
    <w:p w14:paraId="2C663E85" w14:textId="77777777" w:rsidR="00A25F64" w:rsidRPr="0097412A" w:rsidRDefault="00A25F64" w:rsidP="00A25F64">
      <w:pPr>
        <w:pStyle w:val="FSCDraftingitem"/>
      </w:pPr>
      <w:r w:rsidRPr="00DB170D">
        <w:t xml:space="preserve">This instrument is the </w:t>
      </w:r>
      <w:r w:rsidRPr="00792F7C">
        <w:rPr>
          <w:i/>
        </w:rPr>
        <w:t>Food Standards (</w:t>
      </w:r>
      <w:r>
        <w:rPr>
          <w:i/>
        </w:rPr>
        <w:t>Application A1180</w:t>
      </w:r>
      <w:r w:rsidRPr="0097412A">
        <w:rPr>
          <w:i/>
        </w:rPr>
        <w:t xml:space="preserve"> – </w:t>
      </w:r>
      <w:r w:rsidRPr="0072033A">
        <w:rPr>
          <w:i/>
        </w:rPr>
        <w:t>Natural Glycolipids as a preservative in non-alcoholic beverages</w:t>
      </w:r>
      <w:r>
        <w:rPr>
          <w:i/>
        </w:rPr>
        <w:t xml:space="preserve">) </w:t>
      </w:r>
      <w:r w:rsidRPr="0097412A">
        <w:rPr>
          <w:i/>
        </w:rPr>
        <w:t>Variation</w:t>
      </w:r>
      <w:r w:rsidRPr="0097412A">
        <w:t>.</w:t>
      </w:r>
    </w:p>
    <w:p w14:paraId="69792EC2" w14:textId="77777777" w:rsidR="00A25F64" w:rsidRPr="0097412A" w:rsidRDefault="00A25F64" w:rsidP="00A25F64">
      <w:pPr>
        <w:pStyle w:val="FSCDraftingitemheading"/>
      </w:pPr>
      <w:r w:rsidRPr="0097412A">
        <w:t>2</w:t>
      </w:r>
      <w:r w:rsidRPr="0097412A">
        <w:tab/>
        <w:t xml:space="preserve">Variation to standards in the </w:t>
      </w:r>
      <w:r w:rsidRPr="0097412A">
        <w:rPr>
          <w:i/>
        </w:rPr>
        <w:t>Australia New Zealand Food Standards Code</w:t>
      </w:r>
    </w:p>
    <w:p w14:paraId="6903BC63" w14:textId="77777777" w:rsidR="00A25F64" w:rsidRPr="0097412A" w:rsidRDefault="00A25F64" w:rsidP="00A25F64">
      <w:pPr>
        <w:pStyle w:val="FSCDraftingitem"/>
      </w:pPr>
      <w:r w:rsidRPr="0097412A">
        <w:t>The Schedule varies S</w:t>
      </w:r>
      <w:r>
        <w:t>tandards</w:t>
      </w:r>
      <w:r w:rsidRPr="0097412A">
        <w:t xml:space="preserve"> in the </w:t>
      </w:r>
      <w:r w:rsidRPr="0097412A">
        <w:rPr>
          <w:i/>
        </w:rPr>
        <w:t>Australia New Zealand Food Standards Code</w:t>
      </w:r>
      <w:r w:rsidRPr="0097412A">
        <w:t>.</w:t>
      </w:r>
    </w:p>
    <w:p w14:paraId="4F5F2217" w14:textId="77777777" w:rsidR="00A25F64" w:rsidRPr="0097412A" w:rsidRDefault="00A25F64" w:rsidP="00A25F64">
      <w:pPr>
        <w:pStyle w:val="FSCDraftingitemheading"/>
      </w:pPr>
      <w:r w:rsidRPr="0097412A">
        <w:t>3</w:t>
      </w:r>
      <w:r w:rsidRPr="0097412A">
        <w:tab/>
        <w:t>Commencement</w:t>
      </w:r>
    </w:p>
    <w:p w14:paraId="0FABBD6D" w14:textId="77777777" w:rsidR="00A25F64" w:rsidRPr="0097412A" w:rsidRDefault="00A25F64" w:rsidP="00A25F64">
      <w:pPr>
        <w:pStyle w:val="FSCDraftingitem"/>
      </w:pPr>
      <w:r w:rsidRPr="0097412A">
        <w:t>The variation commences on the date of gazettal.</w:t>
      </w:r>
    </w:p>
    <w:p w14:paraId="4A8EB5BF" w14:textId="77777777" w:rsidR="00A25F64" w:rsidRPr="0097412A" w:rsidRDefault="00A25F64" w:rsidP="00A25F64">
      <w:pPr>
        <w:jc w:val="center"/>
        <w:rPr>
          <w:b/>
          <w:sz w:val="20"/>
        </w:rPr>
      </w:pPr>
      <w:r w:rsidRPr="0097412A">
        <w:rPr>
          <w:b/>
          <w:sz w:val="20"/>
        </w:rPr>
        <w:t>Schedule</w:t>
      </w:r>
    </w:p>
    <w:p w14:paraId="5FDF2E3C" w14:textId="77777777" w:rsidR="00A25F64" w:rsidRDefault="00A25F64" w:rsidP="00A25F64">
      <w:pPr>
        <w:pStyle w:val="FSCDraftingitem"/>
        <w:rPr>
          <w:lang w:bidi="en-US"/>
        </w:rPr>
      </w:pPr>
      <w:r w:rsidRPr="00DB4660">
        <w:rPr>
          <w:b/>
          <w:lang w:bidi="en-US"/>
        </w:rPr>
        <w:t>[1]</w:t>
      </w:r>
      <w:r w:rsidRPr="00DB4660">
        <w:rPr>
          <w:b/>
          <w:lang w:bidi="en-US"/>
        </w:rPr>
        <w:tab/>
      </w:r>
      <w:r>
        <w:rPr>
          <w:b/>
          <w:lang w:bidi="en-US"/>
        </w:rPr>
        <w:t>Schedule 2</w:t>
      </w:r>
      <w:r>
        <w:rPr>
          <w:lang w:bidi="en-US"/>
        </w:rPr>
        <w:t xml:space="preserve"> is varied by</w:t>
      </w:r>
      <w:r>
        <w:rPr>
          <w:b/>
          <w:lang w:bidi="en-US"/>
        </w:rPr>
        <w:t xml:space="preserve"> </w:t>
      </w:r>
      <w:r>
        <w:rPr>
          <w:lang w:bidi="en-US"/>
        </w:rPr>
        <w:t>inserting in the table to section S2—2 in alphabetical order</w:t>
      </w: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692"/>
      </w:tblGrid>
      <w:tr w:rsidR="00A25F64" w:rsidRPr="00EB0272" w14:paraId="41228E4A" w14:textId="77777777" w:rsidTr="00677F27">
        <w:trPr>
          <w:jc w:val="center"/>
        </w:trPr>
        <w:tc>
          <w:tcPr>
            <w:tcW w:w="1844" w:type="dxa"/>
          </w:tcPr>
          <w:p w14:paraId="0FFDA970" w14:textId="77777777" w:rsidR="00A25F64" w:rsidRPr="00EB0272" w:rsidRDefault="00A25F64" w:rsidP="00677F27">
            <w:pPr>
              <w:pStyle w:val="FSCtblMain"/>
            </w:pPr>
            <w:r>
              <w:t>MPN</w:t>
            </w:r>
          </w:p>
        </w:tc>
        <w:tc>
          <w:tcPr>
            <w:tcW w:w="2692" w:type="dxa"/>
          </w:tcPr>
          <w:p w14:paraId="1159E7E9" w14:textId="77777777" w:rsidR="00A25F64" w:rsidRPr="00EB0272" w:rsidRDefault="00A25F64" w:rsidP="00677F27">
            <w:pPr>
              <w:pStyle w:val="FSCtblMain"/>
            </w:pPr>
            <w:r w:rsidRPr="00237358">
              <w:rPr>
                <w:lang w:val="en-AU"/>
              </w:rPr>
              <w:t>most probable number</w:t>
            </w:r>
          </w:p>
        </w:tc>
      </w:tr>
    </w:tbl>
    <w:p w14:paraId="65B99302" w14:textId="77777777" w:rsidR="00A25F64" w:rsidRDefault="00A25F64" w:rsidP="00A25F64">
      <w:pPr>
        <w:pStyle w:val="FSCDraftingitem"/>
        <w:rPr>
          <w:b/>
          <w:lang w:bidi="en-US"/>
        </w:rPr>
      </w:pPr>
      <w:r>
        <w:rPr>
          <w:b/>
          <w:lang w:bidi="en-US"/>
        </w:rPr>
        <w:t>[2</w:t>
      </w:r>
      <w:r w:rsidRPr="00DB4660">
        <w:rPr>
          <w:b/>
          <w:lang w:bidi="en-US"/>
        </w:rPr>
        <w:t>]</w:t>
      </w:r>
      <w:r w:rsidRPr="00DB4660">
        <w:rPr>
          <w:b/>
          <w:lang w:bidi="en-US"/>
        </w:rPr>
        <w:tab/>
        <w:t>Schedule 3</w:t>
      </w:r>
      <w:r>
        <w:rPr>
          <w:lang w:bidi="en-US"/>
        </w:rPr>
        <w:t xml:space="preserve"> is varied by</w:t>
      </w:r>
    </w:p>
    <w:p w14:paraId="1B49A3AC" w14:textId="77777777" w:rsidR="00A25F64" w:rsidRDefault="00A25F64" w:rsidP="00A25F64">
      <w:pPr>
        <w:pStyle w:val="FSCDraftingitem"/>
        <w:rPr>
          <w:lang w:bidi="en-US"/>
        </w:rPr>
      </w:pPr>
      <w:r w:rsidRPr="00FC2B63">
        <w:rPr>
          <w:lang w:bidi="en-US"/>
        </w:rPr>
        <w:t>[</w:t>
      </w:r>
      <w:r>
        <w:rPr>
          <w:lang w:bidi="en-US"/>
        </w:rPr>
        <w:t>2</w:t>
      </w:r>
      <w:r w:rsidRPr="00FC2B63">
        <w:rPr>
          <w:lang w:bidi="en-US"/>
        </w:rPr>
        <w:t>.1]</w:t>
      </w:r>
      <w:r>
        <w:rPr>
          <w:b/>
          <w:lang w:bidi="en-US"/>
        </w:rPr>
        <w:tab/>
      </w:r>
      <w:r>
        <w:rPr>
          <w:lang w:bidi="en-US"/>
        </w:rPr>
        <w:t>inserting in the table to subsection S3—2(2) in alphabetical order</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A25F64" w:rsidRPr="00406023" w14:paraId="1CA9B340" w14:textId="77777777" w:rsidTr="00677F27">
        <w:trPr>
          <w:cantSplit/>
          <w:jc w:val="center"/>
        </w:trPr>
        <w:tc>
          <w:tcPr>
            <w:tcW w:w="4254" w:type="dxa"/>
          </w:tcPr>
          <w:p w14:paraId="7318BF32" w14:textId="77777777" w:rsidR="00A25F64" w:rsidRPr="00B17E08" w:rsidRDefault="00A25F64" w:rsidP="00677F27">
            <w:pPr>
              <w:pStyle w:val="FSCtblMain"/>
            </w:pPr>
            <w:r>
              <w:rPr>
                <w:lang w:val="en-AU"/>
              </w:rPr>
              <w:t>Sweet osmanthus ear g</w:t>
            </w:r>
            <w:r w:rsidRPr="00B17E08">
              <w:rPr>
                <w:lang w:val="en-AU"/>
              </w:rPr>
              <w:t>lycolipids</w:t>
            </w:r>
          </w:p>
        </w:tc>
        <w:tc>
          <w:tcPr>
            <w:tcW w:w="2550" w:type="dxa"/>
          </w:tcPr>
          <w:p w14:paraId="176BC678" w14:textId="77777777" w:rsidR="00A25F64" w:rsidRPr="00406023" w:rsidRDefault="00A25F64" w:rsidP="00677F27">
            <w:pPr>
              <w:pStyle w:val="FSCtblMain"/>
            </w:pPr>
            <w:r w:rsidRPr="00237358">
              <w:rPr>
                <w:lang w:val="en-AU"/>
              </w:rPr>
              <w:t>section S3—43</w:t>
            </w:r>
          </w:p>
        </w:tc>
      </w:tr>
    </w:tbl>
    <w:p w14:paraId="354E66EE" w14:textId="77777777" w:rsidR="00A25F64" w:rsidRPr="00FC2B63" w:rsidRDefault="00A25F64" w:rsidP="00A25F64">
      <w:pPr>
        <w:pStyle w:val="FSCDraftingitem"/>
        <w:rPr>
          <w:b/>
          <w:lang w:bidi="en-US"/>
        </w:rPr>
      </w:pPr>
      <w:r w:rsidRPr="00FC2B63">
        <w:rPr>
          <w:lang w:bidi="en-US"/>
        </w:rPr>
        <w:t>[</w:t>
      </w:r>
      <w:r>
        <w:rPr>
          <w:lang w:bidi="en-US"/>
        </w:rPr>
        <w:t>2</w:t>
      </w:r>
      <w:r w:rsidRPr="00FC2B63">
        <w:rPr>
          <w:lang w:bidi="en-US"/>
        </w:rPr>
        <w:t>.2]</w:t>
      </w:r>
      <w:r w:rsidRPr="00DA057D">
        <w:rPr>
          <w:b/>
          <w:lang w:bidi="en-US"/>
        </w:rPr>
        <w:tab/>
      </w:r>
      <w:r>
        <w:rPr>
          <w:lang w:bidi="en-US"/>
        </w:rPr>
        <w:t>inserting after section S3—</w:t>
      </w:r>
      <w:r w:rsidRPr="00D617DA">
        <w:rPr>
          <w:lang w:bidi="en-US"/>
        </w:rPr>
        <w:t>42</w:t>
      </w:r>
    </w:p>
    <w:p w14:paraId="1BCF99A5" w14:textId="77777777" w:rsidR="00A25F64" w:rsidRDefault="00A25F64" w:rsidP="00A25F64">
      <w:pPr>
        <w:pStyle w:val="FSCh5Section"/>
        <w:rPr>
          <w:lang w:bidi="en-US"/>
        </w:rPr>
      </w:pPr>
      <w:r>
        <w:rPr>
          <w:lang w:bidi="en-US"/>
        </w:rPr>
        <w:t>S3—43</w:t>
      </w:r>
      <w:r>
        <w:rPr>
          <w:lang w:bidi="en-US"/>
        </w:rPr>
        <w:tab/>
        <w:t xml:space="preserve">Specification for </w:t>
      </w:r>
      <w:r>
        <w:rPr>
          <w:rFonts w:cs="Arial"/>
          <w:lang w:val="en-AU"/>
        </w:rPr>
        <w:t>sweet osmanthus ear g</w:t>
      </w:r>
      <w:r w:rsidRPr="00B17E08">
        <w:rPr>
          <w:rFonts w:cs="Arial"/>
          <w:lang w:val="en-AU"/>
        </w:rPr>
        <w:t>lycolipids</w:t>
      </w:r>
    </w:p>
    <w:p w14:paraId="064618F9" w14:textId="77777777" w:rsidR="00A25F64" w:rsidRPr="001D1563" w:rsidRDefault="00A25F64" w:rsidP="00A25F64">
      <w:pPr>
        <w:pStyle w:val="FSCtMain"/>
      </w:pPr>
      <w:r w:rsidRPr="001D1563">
        <w:tab/>
      </w:r>
      <w:r w:rsidRPr="001D1563">
        <w:tab/>
        <w:t xml:space="preserve">For </w:t>
      </w:r>
      <w:r>
        <w:rPr>
          <w:lang w:val="en-AU"/>
        </w:rPr>
        <w:t>sweet osmanthus ear g</w:t>
      </w:r>
      <w:r w:rsidRPr="00B17E08">
        <w:rPr>
          <w:lang w:val="en-AU"/>
        </w:rPr>
        <w:t>lycolipids</w:t>
      </w:r>
      <w:r>
        <w:t xml:space="preserve">, the </w:t>
      </w:r>
      <w:r w:rsidRPr="001D1563">
        <w:t>specifications are the following:</w:t>
      </w:r>
    </w:p>
    <w:p w14:paraId="4A38CD9E" w14:textId="77777777" w:rsidR="00A25F64" w:rsidRDefault="00A25F64" w:rsidP="00A25F64">
      <w:pPr>
        <w:pStyle w:val="FSCtPara"/>
      </w:pPr>
      <w:r w:rsidRPr="001D1563">
        <w:tab/>
        <w:t>(a)</w:t>
      </w:r>
      <w:r w:rsidRPr="001D1563">
        <w:tab/>
      </w:r>
      <w:r>
        <w:t>CAS number—</w:t>
      </w:r>
      <w:r w:rsidRPr="00ED7C10">
        <w:t>2205009-17-0</w:t>
      </w:r>
      <w:r>
        <w:t>;</w:t>
      </w:r>
    </w:p>
    <w:p w14:paraId="0034F2FB" w14:textId="77777777" w:rsidR="00A25F64" w:rsidRDefault="00A25F64" w:rsidP="00A25F64">
      <w:pPr>
        <w:pStyle w:val="FSCtPara"/>
      </w:pPr>
      <w:r>
        <w:tab/>
        <w:t>(b)</w:t>
      </w:r>
      <w:r>
        <w:tab/>
        <w:t xml:space="preserve">chemical structure—a mixture of </w:t>
      </w:r>
      <w:r w:rsidRPr="00ED7C10">
        <w:t>long-chain glycolipids obtained from the fermentation</w:t>
      </w:r>
      <w:r>
        <w:t xml:space="preserve"> and </w:t>
      </w:r>
      <w:r w:rsidRPr="00ED7C10">
        <w:t xml:space="preserve">filtration of the non-GMO </w:t>
      </w:r>
      <w:r w:rsidRPr="002C3D67">
        <w:rPr>
          <w:i/>
        </w:rPr>
        <w:t>Dacryopinax spathularia</w:t>
      </w:r>
      <w:r w:rsidRPr="00ED7C10">
        <w:t xml:space="preserve"> strain MUCL 53181</w:t>
      </w:r>
      <w:r>
        <w:t>;</w:t>
      </w:r>
    </w:p>
    <w:p w14:paraId="0A5A2CBA" w14:textId="77777777" w:rsidR="00A25F64" w:rsidRPr="001D1563" w:rsidRDefault="00A25F64" w:rsidP="00A25F64">
      <w:pPr>
        <w:pStyle w:val="FSCtPara"/>
      </w:pPr>
      <w:r>
        <w:tab/>
        <w:t>(c)</w:t>
      </w:r>
      <w:r>
        <w:tab/>
        <w:t>description—off-white to ivory powder</w:t>
      </w:r>
      <w:r w:rsidRPr="001D1563">
        <w:t>;</w:t>
      </w:r>
    </w:p>
    <w:p w14:paraId="40728F1F" w14:textId="77777777" w:rsidR="00A25F64" w:rsidRPr="001D1563" w:rsidRDefault="00A25F64" w:rsidP="00A25F64">
      <w:pPr>
        <w:pStyle w:val="FSCtPara"/>
      </w:pPr>
      <w:r w:rsidRPr="001D1563">
        <w:tab/>
        <w:t>(</w:t>
      </w:r>
      <w:r>
        <w:t>d</w:t>
      </w:r>
      <w:r w:rsidRPr="001D1563">
        <w:t>)</w:t>
      </w:r>
      <w:r w:rsidRPr="001D1563">
        <w:tab/>
      </w:r>
      <w:r w:rsidRPr="00071191">
        <w:t>pH</w:t>
      </w:r>
      <w:r>
        <w:t>—</w:t>
      </w:r>
      <w:r w:rsidRPr="00071191">
        <w:t>between 5.0 and 7</w:t>
      </w:r>
      <w:r>
        <w:t>.0 (1% aqueous solution)</w:t>
      </w:r>
      <w:r w:rsidRPr="001D1563">
        <w:t>;</w:t>
      </w:r>
    </w:p>
    <w:p w14:paraId="05E97F48" w14:textId="77777777" w:rsidR="00A25F64" w:rsidRPr="001D1563" w:rsidRDefault="00A25F64" w:rsidP="00A25F64">
      <w:pPr>
        <w:pStyle w:val="FSCtPara"/>
      </w:pPr>
      <w:r>
        <w:tab/>
        <w:t>(e)</w:t>
      </w:r>
      <w:r>
        <w:tab/>
        <w:t>water—less than 5%</w:t>
      </w:r>
      <w:r w:rsidRPr="001D1563">
        <w:t>;</w:t>
      </w:r>
    </w:p>
    <w:p w14:paraId="69C4AE57" w14:textId="77777777" w:rsidR="00A25F64" w:rsidRPr="001D1563" w:rsidRDefault="00A25F64" w:rsidP="00A25F64">
      <w:pPr>
        <w:pStyle w:val="FSCtPara"/>
      </w:pPr>
      <w:r>
        <w:tab/>
        <w:t>(f)</w:t>
      </w:r>
      <w:r>
        <w:tab/>
        <w:t>protein—less than 3%</w:t>
      </w:r>
      <w:r w:rsidRPr="001D1563">
        <w:t>;</w:t>
      </w:r>
    </w:p>
    <w:p w14:paraId="396140DC" w14:textId="77777777" w:rsidR="00A25F64" w:rsidRPr="001D1563" w:rsidRDefault="00A25F64" w:rsidP="00A25F64">
      <w:pPr>
        <w:pStyle w:val="FSCtPara"/>
      </w:pPr>
      <w:r>
        <w:tab/>
        <w:t>(g)</w:t>
      </w:r>
      <w:r>
        <w:tab/>
        <w:t>fat</w:t>
      </w:r>
      <w:r w:rsidRPr="001D1563">
        <w:t>—</w:t>
      </w:r>
      <w:r>
        <w:t>less than 2%</w:t>
      </w:r>
      <w:r w:rsidRPr="001D1563">
        <w:t>;</w:t>
      </w:r>
    </w:p>
    <w:p w14:paraId="6301F80F" w14:textId="77777777" w:rsidR="00A25F64" w:rsidRPr="001D1563" w:rsidRDefault="00A25F64" w:rsidP="00A25F64">
      <w:pPr>
        <w:pStyle w:val="FSCtPara"/>
      </w:pPr>
      <w:r>
        <w:tab/>
        <w:t>(h)</w:t>
      </w:r>
      <w:r>
        <w:tab/>
        <w:t>total glycolipid content on a dry weight basis for the powder</w:t>
      </w:r>
      <w:r w:rsidRPr="001D1563">
        <w:t>—</w:t>
      </w:r>
      <w:r>
        <w:t>no less than 93%</w:t>
      </w:r>
      <w:r w:rsidRPr="001D1563">
        <w:t>;</w:t>
      </w:r>
    </w:p>
    <w:p w14:paraId="5D9643DE" w14:textId="77777777" w:rsidR="00A25F64" w:rsidRDefault="00A25F64" w:rsidP="00A25F64">
      <w:pPr>
        <w:pStyle w:val="FSCtPara"/>
      </w:pPr>
      <w:r>
        <w:tab/>
        <w:t>(i)</w:t>
      </w:r>
      <w:r>
        <w:tab/>
        <w:t>lead</w:t>
      </w:r>
      <w:r w:rsidRPr="001D1563">
        <w:t>—</w:t>
      </w:r>
      <w:r>
        <w:t>not more than 2 mg/kg;</w:t>
      </w:r>
    </w:p>
    <w:p w14:paraId="68B6957B" w14:textId="77777777" w:rsidR="00A25F64" w:rsidRPr="001D1563" w:rsidRDefault="00A25F64" w:rsidP="00A25F64">
      <w:pPr>
        <w:pStyle w:val="FSCtPara"/>
      </w:pPr>
      <w:r>
        <w:tab/>
        <w:t>(j</w:t>
      </w:r>
      <w:r w:rsidRPr="001D1563">
        <w:t>)</w:t>
      </w:r>
      <w:r w:rsidRPr="001D1563">
        <w:tab/>
      </w:r>
      <w:r>
        <w:t>arsenic</w:t>
      </w:r>
      <w:r w:rsidRPr="001D1563">
        <w:t>—</w:t>
      </w:r>
      <w:r>
        <w:t>not more than 1 mg/kg</w:t>
      </w:r>
      <w:r w:rsidRPr="001D1563">
        <w:t>;</w:t>
      </w:r>
    </w:p>
    <w:p w14:paraId="3F9176DC" w14:textId="77777777" w:rsidR="00A25F64" w:rsidRPr="001D1563" w:rsidRDefault="00A25F64" w:rsidP="00A25F64">
      <w:pPr>
        <w:pStyle w:val="FSCtPara"/>
      </w:pPr>
      <w:r>
        <w:tab/>
        <w:t>(k)</w:t>
      </w:r>
      <w:r>
        <w:tab/>
        <w:t>cadmium—</w:t>
      </w:r>
      <w:r w:rsidRPr="00F03592">
        <w:t xml:space="preserve"> </w:t>
      </w:r>
      <w:r>
        <w:t>not more than 1 mg/kg</w:t>
      </w:r>
      <w:r w:rsidRPr="001D1563">
        <w:t>;</w:t>
      </w:r>
    </w:p>
    <w:p w14:paraId="4A89B455" w14:textId="77777777" w:rsidR="00A25F64" w:rsidRPr="001D1563" w:rsidRDefault="00A25F64" w:rsidP="00A25F64">
      <w:pPr>
        <w:pStyle w:val="FSCtPara"/>
      </w:pPr>
      <w:r>
        <w:tab/>
        <w:t>(l)</w:t>
      </w:r>
      <w:r>
        <w:tab/>
        <w:t>mercury—</w:t>
      </w:r>
      <w:r w:rsidRPr="00F03592">
        <w:t xml:space="preserve"> </w:t>
      </w:r>
      <w:r>
        <w:t>not more than 1 mg/kg</w:t>
      </w:r>
      <w:r w:rsidRPr="001D1563">
        <w:t>;</w:t>
      </w:r>
    </w:p>
    <w:p w14:paraId="1FD7F5A0" w14:textId="77777777" w:rsidR="00A25F64" w:rsidRPr="00F03592" w:rsidRDefault="00A25F64" w:rsidP="00A25F64">
      <w:pPr>
        <w:pStyle w:val="FSCtPara"/>
      </w:pPr>
      <w:r w:rsidRPr="00F03592">
        <w:tab/>
      </w:r>
      <w:r>
        <w:t>(m</w:t>
      </w:r>
      <w:r w:rsidRPr="00F03592">
        <w:t>)</w:t>
      </w:r>
      <w:r w:rsidRPr="00F03592">
        <w:tab/>
      </w:r>
      <w:r w:rsidRPr="00F03592">
        <w:rPr>
          <w:rFonts w:eastAsia="Calibri"/>
          <w:szCs w:val="20"/>
          <w:lang w:val="en-AU"/>
        </w:rPr>
        <w:t>microbial limits</w:t>
      </w:r>
      <w:r w:rsidRPr="00F03592">
        <w:t>:</w:t>
      </w:r>
    </w:p>
    <w:p w14:paraId="3AF6BF4F" w14:textId="77777777" w:rsidR="00A25F64" w:rsidRPr="00F03592" w:rsidRDefault="00A25F64" w:rsidP="00A25F64">
      <w:pPr>
        <w:pStyle w:val="FSCtSubpara"/>
      </w:pPr>
      <w:r w:rsidRPr="00F03592">
        <w:tab/>
        <w:t>(i)</w:t>
      </w:r>
      <w:r w:rsidRPr="00F03592">
        <w:tab/>
      </w:r>
      <w:r>
        <w:t xml:space="preserve">total </w:t>
      </w:r>
      <w:r w:rsidRPr="00F03592">
        <w:t>aerobic microbial count</w:t>
      </w:r>
      <w:r>
        <w:t>—not more than 100 cfu/</w:t>
      </w:r>
      <w:r w:rsidRPr="00F03592">
        <w:t>g;</w:t>
      </w:r>
    </w:p>
    <w:p w14:paraId="27161EC8" w14:textId="77777777" w:rsidR="00A25F64" w:rsidRPr="00F03592" w:rsidRDefault="00A25F64" w:rsidP="00A25F64">
      <w:pPr>
        <w:pStyle w:val="FSCtSubpara"/>
      </w:pPr>
      <w:r w:rsidRPr="00F03592">
        <w:tab/>
        <w:t>(ii)</w:t>
      </w:r>
      <w:r w:rsidRPr="00F03592">
        <w:tab/>
      </w:r>
      <w:r>
        <w:t xml:space="preserve">total </w:t>
      </w:r>
      <w:r w:rsidRPr="00F03592">
        <w:t>yeast and mould count</w:t>
      </w:r>
      <w:r>
        <w:t>—not more than 10 cfu</w:t>
      </w:r>
      <w:r w:rsidRPr="00F03592">
        <w:t>/g;</w:t>
      </w:r>
    </w:p>
    <w:p w14:paraId="16A79369" w14:textId="77777777" w:rsidR="00A25F64" w:rsidRPr="00F03592" w:rsidRDefault="00A25F64" w:rsidP="00A25F64">
      <w:pPr>
        <w:pStyle w:val="FSCtSubpara"/>
      </w:pPr>
      <w:r w:rsidRPr="00F03592">
        <w:tab/>
        <w:t>(iii)</w:t>
      </w:r>
      <w:r w:rsidRPr="00F03592">
        <w:tab/>
        <w:t>coliforms</w:t>
      </w:r>
      <w:r>
        <w:t xml:space="preserve">—not more than </w:t>
      </w:r>
      <w:r w:rsidRPr="00F03592">
        <w:t xml:space="preserve">3 </w:t>
      </w:r>
      <w:r>
        <w:t>MPN</w:t>
      </w:r>
      <w:r w:rsidRPr="00F03592">
        <w:t>/g;</w:t>
      </w:r>
    </w:p>
    <w:p w14:paraId="35CED1D3" w14:textId="77777777" w:rsidR="00A25F64" w:rsidRPr="00F03592" w:rsidRDefault="00A25F64" w:rsidP="00A25F64">
      <w:pPr>
        <w:pStyle w:val="FSCtSubpara"/>
      </w:pPr>
      <w:r>
        <w:tab/>
        <w:t>(iv)</w:t>
      </w:r>
      <w:r>
        <w:tab/>
      </w:r>
      <w:r w:rsidRPr="005D3A9B">
        <w:rPr>
          <w:i/>
        </w:rPr>
        <w:t>Escherichia coli</w:t>
      </w:r>
      <w:r>
        <w:t>—not more than 3 MPN/</w:t>
      </w:r>
      <w:r w:rsidRPr="00F03592">
        <w:t>g.</w:t>
      </w:r>
    </w:p>
    <w:p w14:paraId="5A546BB6" w14:textId="77777777" w:rsidR="00A25F64" w:rsidRDefault="00A25F64" w:rsidP="00A25F64">
      <w:pPr>
        <w:pStyle w:val="FSCDraftingitem"/>
        <w:rPr>
          <w:b/>
          <w:lang w:bidi="en-US"/>
        </w:rPr>
      </w:pPr>
      <w:r w:rsidRPr="009968BF">
        <w:rPr>
          <w:b/>
          <w:lang w:bidi="en-US"/>
        </w:rPr>
        <w:t>[</w:t>
      </w:r>
      <w:r>
        <w:rPr>
          <w:b/>
          <w:lang w:bidi="en-US"/>
        </w:rPr>
        <w:t>3</w:t>
      </w:r>
      <w:r w:rsidRPr="009968BF">
        <w:rPr>
          <w:b/>
          <w:lang w:bidi="en-US"/>
        </w:rPr>
        <w:t>]</w:t>
      </w:r>
      <w:r w:rsidRPr="009968BF">
        <w:rPr>
          <w:b/>
          <w:lang w:bidi="en-US"/>
        </w:rPr>
        <w:tab/>
        <w:t>Schedule 8</w:t>
      </w:r>
      <w:r>
        <w:rPr>
          <w:lang w:bidi="en-US"/>
        </w:rPr>
        <w:t xml:space="preserve"> is varied by</w:t>
      </w:r>
    </w:p>
    <w:p w14:paraId="73B4F9B5" w14:textId="77777777" w:rsidR="00A25F64" w:rsidRDefault="00A25F64" w:rsidP="00A25F64">
      <w:pPr>
        <w:pStyle w:val="FSCDraftingitem"/>
        <w:rPr>
          <w:b/>
          <w:lang w:bidi="en-US"/>
        </w:rPr>
      </w:pPr>
      <w:r w:rsidRPr="00FC2B63">
        <w:rPr>
          <w:lang w:bidi="en-US"/>
        </w:rPr>
        <w:t>[</w:t>
      </w:r>
      <w:r>
        <w:rPr>
          <w:lang w:bidi="en-US"/>
        </w:rPr>
        <w:t>3</w:t>
      </w:r>
      <w:r w:rsidRPr="00FC2B63">
        <w:rPr>
          <w:lang w:bidi="en-US"/>
        </w:rPr>
        <w:t>.1]</w:t>
      </w:r>
      <w:r>
        <w:rPr>
          <w:b/>
          <w:lang w:bidi="en-US"/>
        </w:rPr>
        <w:tab/>
      </w:r>
      <w:r>
        <w:rPr>
          <w:lang w:bidi="en-US"/>
        </w:rPr>
        <w:t xml:space="preserve">inserting in the table to section S8—2 </w:t>
      </w:r>
      <w:r w:rsidRPr="001864EF">
        <w:rPr>
          <w:lang w:bidi="en-US"/>
        </w:rPr>
        <w:t>entitled ‘Food additive names—alphabetical listing’</w:t>
      </w:r>
      <w:r>
        <w:rPr>
          <w:lang w:bidi="en-US"/>
        </w:rPr>
        <w:t>, in alphabetical order</w:t>
      </w:r>
    </w:p>
    <w:tbl>
      <w:tblPr>
        <w:tblStyle w:val="TableGrid2"/>
        <w:tblW w:w="4422" w:type="dxa"/>
        <w:tblInd w:w="0" w:type="dxa"/>
        <w:tblLook w:val="04A0" w:firstRow="1" w:lastRow="0" w:firstColumn="1" w:lastColumn="0" w:noHBand="0" w:noVBand="1"/>
      </w:tblPr>
      <w:tblGrid>
        <w:gridCol w:w="3402"/>
        <w:gridCol w:w="1020"/>
      </w:tblGrid>
      <w:tr w:rsidR="00A25F64" w14:paraId="38F6B032" w14:textId="77777777" w:rsidTr="00677F27">
        <w:trPr>
          <w:cantSplit/>
        </w:trPr>
        <w:tc>
          <w:tcPr>
            <w:tcW w:w="3402" w:type="dxa"/>
            <w:tcBorders>
              <w:top w:val="nil"/>
              <w:left w:val="nil"/>
              <w:bottom w:val="nil"/>
              <w:right w:val="nil"/>
            </w:tcBorders>
            <w:hideMark/>
          </w:tcPr>
          <w:p w14:paraId="00DC97BC" w14:textId="77777777" w:rsidR="00A25F64" w:rsidRDefault="00A25F64" w:rsidP="00677F27">
            <w:pPr>
              <w:pStyle w:val="FSCtblMain"/>
              <w:rPr>
                <w:lang w:eastAsia="en-US"/>
              </w:rPr>
            </w:pPr>
            <w:r>
              <w:rPr>
                <w:lang w:val="en-AU"/>
              </w:rPr>
              <w:t>Sweet osmanthus ear g</w:t>
            </w:r>
            <w:r w:rsidRPr="00B17E08">
              <w:rPr>
                <w:lang w:val="en-AU"/>
              </w:rPr>
              <w:t>lycolipids</w:t>
            </w:r>
          </w:p>
        </w:tc>
        <w:tc>
          <w:tcPr>
            <w:tcW w:w="1020" w:type="dxa"/>
            <w:tcBorders>
              <w:top w:val="nil"/>
              <w:left w:val="nil"/>
              <w:bottom w:val="nil"/>
              <w:right w:val="nil"/>
            </w:tcBorders>
            <w:hideMark/>
          </w:tcPr>
          <w:p w14:paraId="29B5A7E4" w14:textId="77777777" w:rsidR="00A25F64" w:rsidRDefault="00A25F64" w:rsidP="00677F27">
            <w:pPr>
              <w:pStyle w:val="FSCtblMain"/>
              <w:rPr>
                <w:lang w:eastAsia="en-US"/>
              </w:rPr>
            </w:pPr>
            <w:r>
              <w:t>–</w:t>
            </w:r>
          </w:p>
        </w:tc>
      </w:tr>
    </w:tbl>
    <w:p w14:paraId="6AD22F63" w14:textId="77777777" w:rsidR="00A25F64" w:rsidRDefault="00A25F64" w:rsidP="00A25F64">
      <w:pPr>
        <w:pStyle w:val="FSCDraftingitem"/>
        <w:rPr>
          <w:b/>
          <w:lang w:bidi="en-US"/>
        </w:rPr>
      </w:pPr>
      <w:r w:rsidRPr="00FC2B63">
        <w:rPr>
          <w:lang w:bidi="en-US"/>
        </w:rPr>
        <w:t>[</w:t>
      </w:r>
      <w:r>
        <w:rPr>
          <w:lang w:bidi="en-US"/>
        </w:rPr>
        <w:t>3</w:t>
      </w:r>
      <w:r w:rsidRPr="00FC2B63">
        <w:rPr>
          <w:lang w:bidi="en-US"/>
        </w:rPr>
        <w:t>.2]</w:t>
      </w:r>
      <w:r w:rsidRPr="00DA057D">
        <w:rPr>
          <w:b/>
          <w:lang w:bidi="en-US"/>
        </w:rPr>
        <w:tab/>
      </w:r>
      <w:r>
        <w:rPr>
          <w:lang w:bidi="en-US"/>
        </w:rPr>
        <w:t xml:space="preserve">inserting in the table to section S8—2 </w:t>
      </w:r>
      <w:r w:rsidRPr="001864EF">
        <w:rPr>
          <w:lang w:bidi="en-US"/>
        </w:rPr>
        <w:t>entitled ‘Food additive names—</w:t>
      </w:r>
      <w:r w:rsidRPr="00BE58C9">
        <w:rPr>
          <w:lang w:bidi="en-US"/>
        </w:rPr>
        <w:t>numerical</w:t>
      </w:r>
      <w:r w:rsidRPr="001864EF">
        <w:rPr>
          <w:lang w:bidi="en-US"/>
        </w:rPr>
        <w:t xml:space="preserve"> listing’</w:t>
      </w:r>
      <w:r>
        <w:rPr>
          <w:lang w:bidi="en-US"/>
        </w:rPr>
        <w:t>, after</w:t>
      </w:r>
      <w:r w:rsidRPr="007A67E3">
        <w:rPr>
          <w:lang w:bidi="en-US"/>
        </w:rPr>
        <w:t xml:space="preserve"> the entry for</w:t>
      </w:r>
      <w:r>
        <w:rPr>
          <w:b/>
          <w:lang w:bidi="en-US"/>
        </w:rPr>
        <w:t xml:space="preserve"> ‘</w:t>
      </w:r>
      <w:r w:rsidRPr="00FC3654">
        <w:t>Sodium hydrosulphite</w:t>
      </w:r>
      <w:r>
        <w:rPr>
          <w:b/>
          <w:lang w:bidi="en-US"/>
        </w:rPr>
        <w:t>’</w:t>
      </w:r>
    </w:p>
    <w:tbl>
      <w:tblPr>
        <w:tblStyle w:val="TableGrid3"/>
        <w:tblW w:w="44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A25F64" w:rsidRPr="00F51804" w14:paraId="5512B5F5" w14:textId="77777777" w:rsidTr="00677F27">
        <w:trPr>
          <w:cantSplit/>
        </w:trPr>
        <w:tc>
          <w:tcPr>
            <w:tcW w:w="1020" w:type="dxa"/>
            <w:hideMark/>
          </w:tcPr>
          <w:p w14:paraId="1C70DA8F" w14:textId="77777777" w:rsidR="00A25F64" w:rsidRPr="00F51804" w:rsidRDefault="00A25F64" w:rsidP="00677F27">
            <w:pPr>
              <w:pStyle w:val="FSCtblMain"/>
            </w:pPr>
            <w:r w:rsidRPr="00F51804">
              <w:t>–</w:t>
            </w:r>
          </w:p>
        </w:tc>
        <w:tc>
          <w:tcPr>
            <w:tcW w:w="3402" w:type="dxa"/>
            <w:hideMark/>
          </w:tcPr>
          <w:p w14:paraId="307D6183" w14:textId="77777777" w:rsidR="00A25F64" w:rsidRPr="00F51804" w:rsidRDefault="00A25F64" w:rsidP="00677F27">
            <w:pPr>
              <w:pStyle w:val="FSCtblMain"/>
            </w:pPr>
            <w:r>
              <w:rPr>
                <w:lang w:val="en-AU"/>
              </w:rPr>
              <w:t>Sweet osmanthus ear g</w:t>
            </w:r>
            <w:r w:rsidRPr="00B17E08">
              <w:rPr>
                <w:lang w:val="en-AU"/>
              </w:rPr>
              <w:t>lycolipids</w:t>
            </w:r>
          </w:p>
        </w:tc>
      </w:tr>
    </w:tbl>
    <w:p w14:paraId="49DB49E6" w14:textId="77777777" w:rsidR="00A25F64" w:rsidRDefault="00A25F64" w:rsidP="00A25F64">
      <w:pPr>
        <w:pStyle w:val="FSCDraftingitemheading"/>
        <w:ind w:left="0" w:firstLine="0"/>
        <w:rPr>
          <w:lang w:bidi="en-US"/>
        </w:rPr>
      </w:pPr>
    </w:p>
    <w:p w14:paraId="7CAEEAD9" w14:textId="77777777" w:rsidR="00A25F64" w:rsidRDefault="00A25F64" w:rsidP="00A25F64">
      <w:pPr>
        <w:pStyle w:val="FSCDraftingitem"/>
        <w:rPr>
          <w:b/>
          <w:lang w:bidi="en-US"/>
        </w:rPr>
      </w:pPr>
      <w:r w:rsidRPr="00DB4660">
        <w:rPr>
          <w:b/>
          <w:lang w:bidi="en-US"/>
        </w:rPr>
        <w:t>[</w:t>
      </w:r>
      <w:r>
        <w:rPr>
          <w:b/>
          <w:lang w:bidi="en-US"/>
        </w:rPr>
        <w:t>4</w:t>
      </w:r>
      <w:r w:rsidRPr="00DB4660">
        <w:rPr>
          <w:b/>
          <w:lang w:bidi="en-US"/>
        </w:rPr>
        <w:t>]</w:t>
      </w:r>
      <w:r w:rsidRPr="00DB4660">
        <w:rPr>
          <w:b/>
          <w:lang w:bidi="en-US"/>
        </w:rPr>
        <w:tab/>
        <w:t>Schedule 15</w:t>
      </w:r>
      <w:r>
        <w:rPr>
          <w:lang w:bidi="en-US"/>
        </w:rPr>
        <w:t xml:space="preserve"> is varied by</w:t>
      </w:r>
    </w:p>
    <w:p w14:paraId="5D746F0E" w14:textId="77777777" w:rsidR="00A25F64" w:rsidRDefault="00A25F64" w:rsidP="00A25F64">
      <w:pPr>
        <w:pStyle w:val="FSCDraftingitem"/>
        <w:rPr>
          <w:b/>
          <w:lang w:bidi="en-US"/>
        </w:rPr>
      </w:pPr>
      <w:r w:rsidRPr="003233DF">
        <w:rPr>
          <w:lang w:bidi="en-US"/>
        </w:rPr>
        <w:t>[</w:t>
      </w:r>
      <w:r>
        <w:rPr>
          <w:lang w:bidi="en-US"/>
        </w:rPr>
        <w:t>4</w:t>
      </w:r>
      <w:r w:rsidRPr="003233DF">
        <w:rPr>
          <w:lang w:bidi="en-US"/>
        </w:rPr>
        <w:t>.1]</w:t>
      </w:r>
      <w:r w:rsidRPr="0097412A">
        <w:rPr>
          <w:lang w:bidi="en-US"/>
        </w:rPr>
        <w:tab/>
      </w:r>
      <w:r>
        <w:rPr>
          <w:lang w:bidi="en-US"/>
        </w:rPr>
        <w:t xml:space="preserve">inserting in item </w:t>
      </w:r>
      <w:r w:rsidRPr="00962EC3">
        <w:rPr>
          <w:lang w:bidi="en-US"/>
        </w:rPr>
        <w:t>14.1.2</w:t>
      </w:r>
      <w:r>
        <w:rPr>
          <w:lang w:bidi="en-US"/>
        </w:rPr>
        <w:t xml:space="preserve"> of the table to section </w:t>
      </w:r>
      <w:r w:rsidRPr="001322F1">
        <w:rPr>
          <w:lang w:bidi="en-US"/>
        </w:rPr>
        <w:t>S15–5, after the heading ‘Fruit and vegetable juices and fruit and vegetable juice products’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A25F64" w:rsidRPr="00486424" w14:paraId="0D52C9A6" w14:textId="77777777" w:rsidTr="00677F27">
        <w:trPr>
          <w:cantSplit/>
        </w:trPr>
        <w:tc>
          <w:tcPr>
            <w:tcW w:w="1668" w:type="dxa"/>
          </w:tcPr>
          <w:p w14:paraId="56D55F66" w14:textId="77777777" w:rsidR="00A25F64" w:rsidRPr="00486424" w:rsidRDefault="00A25F64" w:rsidP="00677F27">
            <w:pPr>
              <w:pStyle w:val="FSCtblAdd1"/>
            </w:pPr>
          </w:p>
        </w:tc>
        <w:tc>
          <w:tcPr>
            <w:tcW w:w="4252" w:type="dxa"/>
          </w:tcPr>
          <w:p w14:paraId="52B9BACC" w14:textId="77777777" w:rsidR="00A25F64" w:rsidRPr="00486424" w:rsidRDefault="00A25F64" w:rsidP="00677F27">
            <w:pPr>
              <w:pStyle w:val="FSCtblAdd1"/>
            </w:pPr>
            <w:r>
              <w:rPr>
                <w:lang w:val="en-AU"/>
              </w:rPr>
              <w:t>Sweet osmanthus ear g</w:t>
            </w:r>
            <w:r w:rsidRPr="00B17E08">
              <w:rPr>
                <w:lang w:val="en-AU"/>
              </w:rPr>
              <w:t>lycolipids</w:t>
            </w:r>
          </w:p>
        </w:tc>
        <w:tc>
          <w:tcPr>
            <w:tcW w:w="992" w:type="dxa"/>
          </w:tcPr>
          <w:p w14:paraId="3A400FC8" w14:textId="77777777" w:rsidR="00A25F64" w:rsidRPr="00B17E08" w:rsidRDefault="00A25F64" w:rsidP="00677F27">
            <w:pPr>
              <w:pStyle w:val="FSCtblAdd2"/>
            </w:pPr>
            <w:r w:rsidRPr="00B17E08">
              <w:t>100</w:t>
            </w:r>
          </w:p>
        </w:tc>
        <w:tc>
          <w:tcPr>
            <w:tcW w:w="2160" w:type="dxa"/>
          </w:tcPr>
          <w:p w14:paraId="46AA462B" w14:textId="77777777" w:rsidR="00A25F64" w:rsidRPr="00486424" w:rsidRDefault="00A25F64" w:rsidP="00677F27">
            <w:pPr>
              <w:pStyle w:val="FSCtblAdd1"/>
            </w:pPr>
          </w:p>
        </w:tc>
      </w:tr>
    </w:tbl>
    <w:p w14:paraId="3C0E999B" w14:textId="77777777" w:rsidR="00A25F64" w:rsidRDefault="00A25F64" w:rsidP="00A25F64">
      <w:pPr>
        <w:pStyle w:val="FSCDraftingitem"/>
        <w:rPr>
          <w:b/>
          <w:lang w:bidi="en-US"/>
        </w:rPr>
      </w:pPr>
      <w:r w:rsidRPr="003233DF">
        <w:rPr>
          <w:lang w:bidi="en-US"/>
        </w:rPr>
        <w:t>[</w:t>
      </w:r>
      <w:r>
        <w:rPr>
          <w:lang w:bidi="en-US"/>
        </w:rPr>
        <w:t>4</w:t>
      </w:r>
      <w:r w:rsidRPr="003233DF">
        <w:rPr>
          <w:lang w:bidi="en-US"/>
        </w:rPr>
        <w:t>.2]</w:t>
      </w:r>
      <w:r w:rsidRPr="0097412A">
        <w:rPr>
          <w:lang w:bidi="en-US"/>
        </w:rPr>
        <w:tab/>
      </w:r>
      <w:r>
        <w:rPr>
          <w:lang w:bidi="en-US"/>
        </w:rPr>
        <w:t xml:space="preserve">inserting in item 14.1.3 of the table to section S15–5, after the entry for </w:t>
      </w:r>
      <w:r w:rsidRPr="001322F1">
        <w:rPr>
          <w:lang w:bidi="en-US"/>
        </w:rPr>
        <w:t>‘</w:t>
      </w:r>
      <w:r w:rsidRPr="00486424">
        <w:t>Quinine</w:t>
      </w:r>
      <w:r w:rsidRPr="001322F1">
        <w:rPr>
          <w:lang w:bidi="en-US"/>
        </w:rP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A25F64" w:rsidRPr="00486424" w14:paraId="6B672621" w14:textId="77777777" w:rsidTr="00677F27">
        <w:trPr>
          <w:cantSplit/>
        </w:trPr>
        <w:tc>
          <w:tcPr>
            <w:tcW w:w="1668" w:type="dxa"/>
          </w:tcPr>
          <w:p w14:paraId="1727A0E9" w14:textId="77777777" w:rsidR="00A25F64" w:rsidRPr="00486424" w:rsidRDefault="00A25F64" w:rsidP="00677F27">
            <w:pPr>
              <w:pStyle w:val="FSCtblAdd1"/>
            </w:pPr>
          </w:p>
        </w:tc>
        <w:tc>
          <w:tcPr>
            <w:tcW w:w="4252" w:type="dxa"/>
          </w:tcPr>
          <w:p w14:paraId="6654B6B3" w14:textId="77777777" w:rsidR="00A25F64" w:rsidRPr="00486424" w:rsidRDefault="00A25F64" w:rsidP="00677F27">
            <w:pPr>
              <w:pStyle w:val="FSCtblAdd1"/>
            </w:pPr>
            <w:r>
              <w:rPr>
                <w:lang w:val="en-AU"/>
              </w:rPr>
              <w:t>Sweet osmanthus ear g</w:t>
            </w:r>
            <w:r w:rsidRPr="00B17E08">
              <w:rPr>
                <w:lang w:val="en-AU"/>
              </w:rPr>
              <w:t>lycolipids</w:t>
            </w:r>
          </w:p>
        </w:tc>
        <w:tc>
          <w:tcPr>
            <w:tcW w:w="992" w:type="dxa"/>
          </w:tcPr>
          <w:p w14:paraId="5AF1E9BC" w14:textId="77777777" w:rsidR="00A25F64" w:rsidRPr="00B17E08" w:rsidRDefault="00A25F64" w:rsidP="00677F27">
            <w:pPr>
              <w:pStyle w:val="FSCtblAdd2"/>
            </w:pPr>
            <w:r w:rsidRPr="00B17E08">
              <w:t>50</w:t>
            </w:r>
          </w:p>
        </w:tc>
        <w:tc>
          <w:tcPr>
            <w:tcW w:w="2160" w:type="dxa"/>
          </w:tcPr>
          <w:p w14:paraId="0DA0C30B" w14:textId="77777777" w:rsidR="00A25F64" w:rsidRPr="00486424" w:rsidRDefault="00A25F64" w:rsidP="00677F27">
            <w:pPr>
              <w:pStyle w:val="FSCtblAdd1"/>
            </w:pPr>
          </w:p>
        </w:tc>
      </w:tr>
    </w:tbl>
    <w:p w14:paraId="6F2EB579" w14:textId="77777777" w:rsidR="00A25F64" w:rsidRDefault="00A25F64" w:rsidP="00A25F64">
      <w:pPr>
        <w:pStyle w:val="FSCDraftingitem"/>
        <w:rPr>
          <w:b/>
          <w:lang w:bidi="en-US"/>
        </w:rPr>
      </w:pPr>
      <w:r w:rsidRPr="003233DF">
        <w:rPr>
          <w:lang w:bidi="en-US"/>
        </w:rPr>
        <w:t>[</w:t>
      </w:r>
      <w:r>
        <w:rPr>
          <w:lang w:bidi="en-US"/>
        </w:rPr>
        <w:t>4</w:t>
      </w:r>
      <w:r w:rsidRPr="003233DF">
        <w:rPr>
          <w:lang w:bidi="en-US"/>
        </w:rPr>
        <w:t>.3]</w:t>
      </w:r>
      <w:r w:rsidRPr="0097412A">
        <w:rPr>
          <w:lang w:bidi="en-US"/>
        </w:rPr>
        <w:tab/>
      </w:r>
      <w:r>
        <w:rPr>
          <w:lang w:bidi="en-US"/>
        </w:rPr>
        <w:t xml:space="preserve">inserting in item 14.1.4 of the table to section S15–5, after the entry for </w:t>
      </w:r>
      <w:r w:rsidRPr="001322F1">
        <w:rPr>
          <w:lang w:bidi="en-US"/>
        </w:rPr>
        <w:t>‘</w:t>
      </w:r>
      <w:r>
        <w:t>M</w:t>
      </w:r>
      <w:r w:rsidRPr="00946A72">
        <w:t>onk fruit extract (luo han guo extract)</w:t>
      </w:r>
      <w:r w:rsidRPr="001322F1">
        <w:rPr>
          <w:lang w:bidi="en-US"/>
        </w:rP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A25F64" w:rsidRPr="00486424" w14:paraId="338938D7" w14:textId="77777777" w:rsidTr="00677F27">
        <w:trPr>
          <w:cantSplit/>
        </w:trPr>
        <w:tc>
          <w:tcPr>
            <w:tcW w:w="1668" w:type="dxa"/>
          </w:tcPr>
          <w:p w14:paraId="6DF4DBF7" w14:textId="77777777" w:rsidR="00A25F64" w:rsidRPr="00486424" w:rsidRDefault="00A25F64" w:rsidP="00677F27">
            <w:pPr>
              <w:pStyle w:val="FSCtblAdd1"/>
            </w:pPr>
          </w:p>
        </w:tc>
        <w:tc>
          <w:tcPr>
            <w:tcW w:w="4252" w:type="dxa"/>
          </w:tcPr>
          <w:p w14:paraId="65A77A0E" w14:textId="77777777" w:rsidR="00A25F64" w:rsidRPr="00486424" w:rsidRDefault="00A25F64" w:rsidP="00677F27">
            <w:pPr>
              <w:pStyle w:val="FSCtblAdd1"/>
            </w:pPr>
            <w:r>
              <w:rPr>
                <w:lang w:val="en-AU"/>
              </w:rPr>
              <w:t>Sweet osmanthus ear g</w:t>
            </w:r>
            <w:r w:rsidRPr="00B17E08">
              <w:rPr>
                <w:lang w:val="en-AU"/>
              </w:rPr>
              <w:t>lycolipids</w:t>
            </w:r>
          </w:p>
        </w:tc>
        <w:tc>
          <w:tcPr>
            <w:tcW w:w="992" w:type="dxa"/>
          </w:tcPr>
          <w:p w14:paraId="65025781" w14:textId="77777777" w:rsidR="00A25F64" w:rsidRPr="00B17E08" w:rsidRDefault="00A25F64" w:rsidP="00677F27">
            <w:pPr>
              <w:pStyle w:val="FSCtblAdd2"/>
            </w:pPr>
            <w:r w:rsidRPr="00B17E08">
              <w:t>20</w:t>
            </w:r>
          </w:p>
        </w:tc>
        <w:tc>
          <w:tcPr>
            <w:tcW w:w="2160" w:type="dxa"/>
          </w:tcPr>
          <w:p w14:paraId="25E3E9B3" w14:textId="77777777" w:rsidR="00A25F64" w:rsidRPr="00486424" w:rsidRDefault="00A25F64" w:rsidP="00677F27">
            <w:pPr>
              <w:pStyle w:val="FSCtblAdd1"/>
            </w:pPr>
          </w:p>
        </w:tc>
      </w:tr>
    </w:tbl>
    <w:p w14:paraId="32566E84" w14:textId="77777777" w:rsidR="00A25F64" w:rsidRDefault="00A25F64" w:rsidP="00A25F64">
      <w:pPr>
        <w:pStyle w:val="FSCDraftingitem"/>
        <w:rPr>
          <w:b/>
          <w:lang w:bidi="en-US"/>
        </w:rPr>
      </w:pPr>
      <w:r w:rsidRPr="003233DF">
        <w:rPr>
          <w:lang w:bidi="en-US"/>
        </w:rPr>
        <w:t>[</w:t>
      </w:r>
      <w:r>
        <w:rPr>
          <w:lang w:bidi="en-US"/>
        </w:rPr>
        <w:t>4</w:t>
      </w:r>
      <w:r w:rsidRPr="003233DF">
        <w:rPr>
          <w:lang w:bidi="en-US"/>
        </w:rPr>
        <w:t>.4]</w:t>
      </w:r>
      <w:r w:rsidRPr="0097412A">
        <w:rPr>
          <w:lang w:bidi="en-US"/>
        </w:rPr>
        <w:tab/>
      </w:r>
      <w:r>
        <w:rPr>
          <w:lang w:bidi="en-US"/>
        </w:rPr>
        <w:t xml:space="preserve">inserting in item 14.1.5 of the table to section S15–5, after the entry for </w:t>
      </w:r>
      <w:r w:rsidRPr="001322F1">
        <w:rPr>
          <w:lang w:bidi="en-US"/>
        </w:rPr>
        <w:t>‘</w:t>
      </w:r>
      <w:r w:rsidRPr="00CB56CF">
        <w:rPr>
          <w:lang w:bidi="en-US"/>
        </w:rPr>
        <w:t>Additives permitted at GMP</w:t>
      </w:r>
      <w:r w:rsidRPr="001322F1">
        <w:rPr>
          <w:lang w:bidi="en-US"/>
        </w:rP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A25F64" w:rsidRPr="00486424" w14:paraId="2203B357" w14:textId="77777777" w:rsidTr="00677F27">
        <w:trPr>
          <w:cantSplit/>
        </w:trPr>
        <w:tc>
          <w:tcPr>
            <w:tcW w:w="1668" w:type="dxa"/>
          </w:tcPr>
          <w:p w14:paraId="38DA92B3" w14:textId="77777777" w:rsidR="00A25F64" w:rsidRPr="00486424" w:rsidRDefault="00A25F64" w:rsidP="00677F27">
            <w:pPr>
              <w:pStyle w:val="FSCtblAdd1"/>
            </w:pPr>
          </w:p>
        </w:tc>
        <w:tc>
          <w:tcPr>
            <w:tcW w:w="4252" w:type="dxa"/>
          </w:tcPr>
          <w:p w14:paraId="343AA137" w14:textId="77777777" w:rsidR="00A25F64" w:rsidRPr="00486424" w:rsidRDefault="00A25F64" w:rsidP="00677F27">
            <w:pPr>
              <w:pStyle w:val="FSCtblAdd1"/>
            </w:pPr>
            <w:r>
              <w:rPr>
                <w:lang w:val="en-AU"/>
              </w:rPr>
              <w:t>Sweet osmanthus ear g</w:t>
            </w:r>
            <w:r w:rsidRPr="00B17E08">
              <w:rPr>
                <w:lang w:val="en-AU"/>
              </w:rPr>
              <w:t>lycolipids</w:t>
            </w:r>
          </w:p>
        </w:tc>
        <w:tc>
          <w:tcPr>
            <w:tcW w:w="992" w:type="dxa"/>
          </w:tcPr>
          <w:p w14:paraId="484779B2" w14:textId="77777777" w:rsidR="00A25F64" w:rsidRPr="00B17E08" w:rsidRDefault="00A25F64" w:rsidP="00677F27">
            <w:pPr>
              <w:pStyle w:val="FSCtblAdd2"/>
            </w:pPr>
            <w:r w:rsidRPr="00B17E08">
              <w:t>10</w:t>
            </w:r>
          </w:p>
        </w:tc>
        <w:tc>
          <w:tcPr>
            <w:tcW w:w="2160" w:type="dxa"/>
          </w:tcPr>
          <w:p w14:paraId="79147CC6" w14:textId="77777777" w:rsidR="00A25F64" w:rsidRPr="00486424" w:rsidRDefault="00A25F64" w:rsidP="00677F27">
            <w:pPr>
              <w:pStyle w:val="FSCtblAdd1"/>
            </w:pPr>
          </w:p>
        </w:tc>
      </w:tr>
    </w:tbl>
    <w:p w14:paraId="0303CA61" w14:textId="77777777" w:rsidR="00A25F64" w:rsidRDefault="00A25F64" w:rsidP="00A25F64">
      <w:pPr>
        <w:pStyle w:val="FSCDraftingitem"/>
        <w:rPr>
          <w:b/>
          <w:lang w:bidi="en-US"/>
        </w:rPr>
      </w:pPr>
      <w:r w:rsidRPr="003233DF">
        <w:rPr>
          <w:lang w:bidi="en-US"/>
        </w:rPr>
        <w:t>[</w:t>
      </w:r>
      <w:r>
        <w:rPr>
          <w:lang w:bidi="en-US"/>
        </w:rPr>
        <w:t>4</w:t>
      </w:r>
      <w:r w:rsidRPr="003233DF">
        <w:rPr>
          <w:lang w:bidi="en-US"/>
        </w:rPr>
        <w:t>.5]</w:t>
      </w:r>
      <w:r w:rsidRPr="0097412A">
        <w:rPr>
          <w:lang w:bidi="en-US"/>
        </w:rPr>
        <w:tab/>
      </w:r>
      <w:r>
        <w:rPr>
          <w:lang w:bidi="en-US"/>
        </w:rPr>
        <w:t>inserting in item 14.2.1</w:t>
      </w:r>
      <w:r w:rsidRPr="00CB56CF">
        <w:rPr>
          <w:lang w:bidi="en-US"/>
        </w:rPr>
        <w:t xml:space="preserve"> </w:t>
      </w:r>
      <w:r>
        <w:rPr>
          <w:lang w:bidi="en-US"/>
        </w:rPr>
        <w:t xml:space="preserve">of the table to section S15–5, after the heading </w:t>
      </w:r>
      <w:r w:rsidRPr="001322F1">
        <w:rPr>
          <w:lang w:bidi="en-US"/>
        </w:rPr>
        <w:t>‘</w:t>
      </w:r>
      <w:r w:rsidRPr="00CB56CF">
        <w:rPr>
          <w:lang w:bidi="en-US"/>
        </w:rPr>
        <w:t>Beer and related products</w:t>
      </w:r>
      <w:r w:rsidRPr="001322F1">
        <w:rPr>
          <w:lang w:bidi="en-US"/>
        </w:rP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A25F64" w:rsidRPr="00B17E08" w14:paraId="071CD906" w14:textId="77777777" w:rsidTr="00677F27">
        <w:trPr>
          <w:cantSplit/>
        </w:trPr>
        <w:tc>
          <w:tcPr>
            <w:tcW w:w="1668" w:type="dxa"/>
          </w:tcPr>
          <w:p w14:paraId="4377A070" w14:textId="77777777" w:rsidR="00A25F64" w:rsidRPr="00486424" w:rsidRDefault="00A25F64" w:rsidP="00677F27">
            <w:pPr>
              <w:pStyle w:val="FSCtblAdd1"/>
            </w:pPr>
          </w:p>
        </w:tc>
        <w:tc>
          <w:tcPr>
            <w:tcW w:w="4252" w:type="dxa"/>
          </w:tcPr>
          <w:p w14:paraId="5F52C12E" w14:textId="77777777" w:rsidR="00A25F64" w:rsidRPr="00486424" w:rsidRDefault="00A25F64" w:rsidP="00677F27">
            <w:pPr>
              <w:pStyle w:val="FSCtblAdd1"/>
            </w:pPr>
            <w:r>
              <w:rPr>
                <w:lang w:val="en-AU"/>
              </w:rPr>
              <w:t>Sweet osmanthus ear g</w:t>
            </w:r>
            <w:r w:rsidRPr="00B17E08">
              <w:rPr>
                <w:lang w:val="en-AU"/>
              </w:rPr>
              <w:t>lycolipids</w:t>
            </w:r>
          </w:p>
        </w:tc>
        <w:tc>
          <w:tcPr>
            <w:tcW w:w="992" w:type="dxa"/>
          </w:tcPr>
          <w:p w14:paraId="04C9E00D" w14:textId="77777777" w:rsidR="00A25F64" w:rsidRPr="00B17E08" w:rsidRDefault="00A25F64" w:rsidP="00677F27">
            <w:pPr>
              <w:pStyle w:val="FSCtblAdd2"/>
            </w:pPr>
            <w:r w:rsidRPr="00B17E08">
              <w:t>100</w:t>
            </w:r>
          </w:p>
        </w:tc>
        <w:tc>
          <w:tcPr>
            <w:tcW w:w="2160" w:type="dxa"/>
          </w:tcPr>
          <w:p w14:paraId="4FA4FA22" w14:textId="77777777" w:rsidR="00A25F64" w:rsidRPr="00B17E08" w:rsidRDefault="00A25F64" w:rsidP="00677F27">
            <w:pPr>
              <w:pStyle w:val="FSCtblAdd1"/>
            </w:pPr>
            <w:r w:rsidRPr="00B17E08">
              <w:t>Only beer where the alcohol has been removed</w:t>
            </w:r>
          </w:p>
        </w:tc>
      </w:tr>
    </w:tbl>
    <w:p w14:paraId="78BE7984" w14:textId="77777777" w:rsidR="00A25F64" w:rsidRDefault="00A25F64" w:rsidP="00A25F64">
      <w:pPr>
        <w:rPr>
          <w:lang w:bidi="ar-SA"/>
        </w:rPr>
      </w:pPr>
    </w:p>
    <w:p w14:paraId="3E48C1F4" w14:textId="77777777" w:rsidR="00A25F64" w:rsidRPr="00795D86" w:rsidRDefault="00A25F64" w:rsidP="00A25F64">
      <w:pPr>
        <w:pStyle w:val="Heading2"/>
        <w:ind w:left="0" w:firstLine="0"/>
      </w:pPr>
    </w:p>
    <w:p w14:paraId="08457101" w14:textId="77777777" w:rsidR="00A25F64" w:rsidRDefault="00A25F64" w:rsidP="00A25F64">
      <w:pPr>
        <w:pStyle w:val="Heading2"/>
        <w:ind w:left="0" w:firstLine="0"/>
      </w:pPr>
      <w:r w:rsidRPr="00932F14">
        <w:br w:type="page"/>
        <w:t xml:space="preserve">Attachment </w:t>
      </w:r>
      <w:r>
        <w:t>B – Explanatory Statement</w:t>
      </w:r>
    </w:p>
    <w:p w14:paraId="6B0CF227" w14:textId="77777777" w:rsidR="00A25F64" w:rsidRPr="000576EB" w:rsidRDefault="00A25F64" w:rsidP="00A25F64">
      <w:pPr>
        <w:rPr>
          <w:b/>
          <w:lang w:val="en-AU" w:eastAsia="en-GB" w:bidi="ar-SA"/>
        </w:rPr>
      </w:pPr>
      <w:r w:rsidRPr="000576EB">
        <w:rPr>
          <w:b/>
          <w:lang w:val="en-AU" w:eastAsia="en-GB" w:bidi="ar-SA"/>
        </w:rPr>
        <w:t>1.</w:t>
      </w:r>
      <w:r w:rsidRPr="000576EB">
        <w:rPr>
          <w:b/>
          <w:lang w:val="en-AU" w:eastAsia="en-GB" w:bidi="ar-SA"/>
        </w:rPr>
        <w:tab/>
        <w:t>Authority</w:t>
      </w:r>
    </w:p>
    <w:p w14:paraId="6AB2A43F" w14:textId="77777777" w:rsidR="00A25F64" w:rsidRDefault="00A25F64" w:rsidP="00A25F64">
      <w:pPr>
        <w:rPr>
          <w:lang w:val="en-AU" w:eastAsia="en-GB" w:bidi="ar-SA"/>
        </w:rPr>
      </w:pPr>
    </w:p>
    <w:p w14:paraId="6253FC3F" w14:textId="77777777" w:rsidR="00A25F64" w:rsidRPr="00D13E34" w:rsidRDefault="00A25F64" w:rsidP="00A25F64">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4B00E44A" w14:textId="77777777" w:rsidR="00A25F64" w:rsidRPr="00D13E34" w:rsidRDefault="00A25F64" w:rsidP="00A25F64">
      <w:pPr>
        <w:widowControl/>
        <w:autoSpaceDE w:val="0"/>
        <w:autoSpaceDN w:val="0"/>
        <w:adjustRightInd w:val="0"/>
        <w:rPr>
          <w:rFonts w:eastAsia="Calibri" w:cs="Arial"/>
          <w:bCs/>
          <w:szCs w:val="22"/>
          <w:lang w:val="en-AU" w:bidi="ar-SA"/>
        </w:rPr>
      </w:pPr>
    </w:p>
    <w:p w14:paraId="7C42B7D5" w14:textId="77777777" w:rsidR="00A25F64" w:rsidRPr="00080692" w:rsidRDefault="00A25F64" w:rsidP="00A25F64">
      <w:pPr>
        <w:widowControl/>
        <w:autoSpaceDE w:val="0"/>
        <w:autoSpaceDN w:val="0"/>
        <w:adjustRightInd w:val="0"/>
        <w:rPr>
          <w:rFonts w:eastAsia="Calibri" w:cs="Arial"/>
          <w:bCs/>
          <w:szCs w:val="22"/>
          <w:lang w:val="en-AU" w:bidi="ar-SA"/>
        </w:rPr>
      </w:pPr>
      <w:r w:rsidRPr="00080692">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6935520" w14:textId="77777777" w:rsidR="00A25F64" w:rsidRPr="00080692" w:rsidRDefault="00A25F64" w:rsidP="00A25F64">
      <w:pPr>
        <w:widowControl/>
        <w:autoSpaceDE w:val="0"/>
        <w:autoSpaceDN w:val="0"/>
        <w:adjustRightInd w:val="0"/>
        <w:rPr>
          <w:rFonts w:eastAsia="Calibri" w:cs="Arial"/>
          <w:bCs/>
          <w:szCs w:val="22"/>
          <w:lang w:val="en-AU" w:bidi="ar-SA"/>
        </w:rPr>
      </w:pPr>
    </w:p>
    <w:p w14:paraId="7D357215" w14:textId="77777777" w:rsidR="00A25F64" w:rsidRDefault="00A25F64" w:rsidP="00A25F64">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080692">
        <w:rPr>
          <w:rFonts w:eastAsia="Calibri" w:cs="Arial"/>
          <w:bCs/>
          <w:szCs w:val="22"/>
          <w:lang w:val="en-AU" w:bidi="ar-SA"/>
        </w:rPr>
        <w:t xml:space="preserve"> accepted Application A</w:t>
      </w:r>
      <w:r>
        <w:rPr>
          <w:rFonts w:eastAsia="Calibri" w:cs="Arial"/>
          <w:bCs/>
          <w:szCs w:val="22"/>
          <w:lang w:val="en-AU" w:bidi="ar-SA"/>
        </w:rPr>
        <w:t>1180</w:t>
      </w:r>
      <w:r w:rsidRPr="00080692">
        <w:rPr>
          <w:rFonts w:eastAsia="Calibri" w:cs="Arial"/>
          <w:bCs/>
          <w:szCs w:val="22"/>
          <w:lang w:val="en-AU" w:bidi="ar-SA"/>
        </w:rPr>
        <w:t xml:space="preserve"> which seeks to </w:t>
      </w:r>
      <w:r>
        <w:rPr>
          <w:lang w:eastAsia="en-AU" w:bidi="ar-SA"/>
        </w:rPr>
        <w:t xml:space="preserve">permit </w:t>
      </w:r>
      <w:r w:rsidRPr="00844890">
        <w:t xml:space="preserve">the use of long-chain glycolipids from </w:t>
      </w:r>
      <w:r w:rsidRPr="00844890">
        <w:rPr>
          <w:i/>
        </w:rPr>
        <w:t>Dacryopinax spathularia</w:t>
      </w:r>
      <w:r>
        <w:rPr>
          <w:lang w:eastAsia="en-AU" w:bidi="ar-SA"/>
        </w:rPr>
        <w:t xml:space="preserve"> (</w:t>
      </w:r>
      <w:r>
        <w:rPr>
          <w:rFonts w:cs="Arial"/>
          <w:lang w:val="en-AU"/>
        </w:rPr>
        <w:t>s</w:t>
      </w:r>
      <w:r w:rsidRPr="00B17E08">
        <w:rPr>
          <w:rFonts w:cs="Arial"/>
          <w:lang w:val="en-AU"/>
        </w:rPr>
        <w:t xml:space="preserve">weet </w:t>
      </w:r>
      <w:r>
        <w:rPr>
          <w:rFonts w:cs="Arial"/>
          <w:lang w:val="en-AU"/>
        </w:rPr>
        <w:t>o</w:t>
      </w:r>
      <w:r w:rsidRPr="00B17E08">
        <w:rPr>
          <w:rFonts w:cs="Arial"/>
          <w:lang w:val="en-AU"/>
        </w:rPr>
        <w:t xml:space="preserve">smanthus </w:t>
      </w:r>
      <w:r>
        <w:rPr>
          <w:rFonts w:cs="Arial"/>
          <w:lang w:val="en-AU"/>
        </w:rPr>
        <w:t>e</w:t>
      </w:r>
      <w:r w:rsidRPr="00B17E08">
        <w:rPr>
          <w:rFonts w:cs="Arial"/>
          <w:lang w:val="en-AU"/>
        </w:rPr>
        <w:t xml:space="preserve">ar </w:t>
      </w:r>
      <w:r>
        <w:rPr>
          <w:rFonts w:cs="Arial"/>
          <w:lang w:val="en-AU"/>
        </w:rPr>
        <w:t>g</w:t>
      </w:r>
      <w:r w:rsidRPr="00B17E08">
        <w:rPr>
          <w:rFonts w:cs="Arial"/>
          <w:lang w:val="en-AU"/>
        </w:rPr>
        <w:t>lycolipids</w:t>
      </w:r>
      <w:r>
        <w:rPr>
          <w:lang w:eastAsia="en-AU" w:bidi="ar-SA"/>
        </w:rPr>
        <w:t xml:space="preserve">) to be used as a food additive in non-alcoholic beverages. </w:t>
      </w:r>
      <w:r w:rsidRPr="00080692">
        <w:rPr>
          <w:rFonts w:eastAsia="Calibri" w:cs="Arial"/>
          <w:bCs/>
          <w:szCs w:val="22"/>
          <w:lang w:val="en-AU" w:bidi="ar-SA"/>
        </w:rPr>
        <w:t xml:space="preserve">The Authority considered the Application in accordance with Division 1 of Part 3 and has </w:t>
      </w:r>
      <w:r>
        <w:rPr>
          <w:rFonts w:eastAsia="Calibri" w:cs="Arial"/>
          <w:bCs/>
          <w:szCs w:val="22"/>
          <w:lang w:val="en-AU" w:bidi="ar-SA"/>
        </w:rPr>
        <w:t>approved</w:t>
      </w:r>
      <w:r w:rsidRPr="00080692">
        <w:rPr>
          <w:rFonts w:eastAsia="Calibri" w:cs="Arial"/>
          <w:bCs/>
          <w:szCs w:val="22"/>
          <w:lang w:val="en-AU" w:bidi="ar-SA"/>
        </w:rPr>
        <w:t xml:space="preserve"> a draft </w:t>
      </w:r>
      <w:r>
        <w:rPr>
          <w:rFonts w:eastAsia="Calibri" w:cs="Arial"/>
          <w:bCs/>
          <w:szCs w:val="22"/>
          <w:lang w:val="en-AU" w:bidi="ar-SA"/>
        </w:rPr>
        <w:t>variation</w:t>
      </w:r>
      <w:r w:rsidRPr="00080692">
        <w:rPr>
          <w:rFonts w:eastAsia="Calibri" w:cs="Arial"/>
          <w:bCs/>
          <w:szCs w:val="22"/>
          <w:lang w:val="en-AU" w:bidi="ar-SA"/>
        </w:rPr>
        <w:t xml:space="preserve">. </w:t>
      </w:r>
    </w:p>
    <w:p w14:paraId="06667815" w14:textId="77777777" w:rsidR="00A25F64" w:rsidRDefault="00A25F64" w:rsidP="00A25F64">
      <w:pPr>
        <w:widowControl/>
        <w:autoSpaceDE w:val="0"/>
        <w:autoSpaceDN w:val="0"/>
        <w:adjustRightInd w:val="0"/>
        <w:rPr>
          <w:rFonts w:eastAsia="Calibri" w:cs="Arial"/>
          <w:bCs/>
          <w:szCs w:val="22"/>
          <w:lang w:val="en-AU" w:bidi="ar-SA"/>
        </w:rPr>
      </w:pPr>
    </w:p>
    <w:p w14:paraId="24197933" w14:textId="77777777" w:rsidR="00A25F64" w:rsidRPr="001078EE" w:rsidRDefault="00A25F64" w:rsidP="00A25F64">
      <w:pPr>
        <w:widowControl/>
        <w:autoSpaceDE w:val="0"/>
        <w:autoSpaceDN w:val="0"/>
        <w:adjustRightInd w:val="0"/>
        <w:rPr>
          <w:rFonts w:eastAsia="Calibri" w:cs="Arial"/>
          <w:bCs/>
          <w:szCs w:val="22"/>
          <w:lang w:val="en-AU" w:bidi="ar-SA"/>
        </w:rPr>
      </w:pPr>
      <w:r w:rsidRPr="001078EE">
        <w:rPr>
          <w:rFonts w:eastAsia="Calibri" w:cs="Arial"/>
          <w:bCs/>
          <w:szCs w:val="22"/>
          <w:lang w:val="en-AU" w:bidi="ar-SA"/>
        </w:rPr>
        <w:t xml:space="preserve">Following consideration by the Australia and New Zealand Ministerial Forum on Food Regulation, section 92 of the FSANZ Act stipulates that the Authority must publish a notice about the standard or draft variation of a standard. </w:t>
      </w:r>
    </w:p>
    <w:p w14:paraId="004B5C84" w14:textId="77777777" w:rsidR="00A25F64" w:rsidRPr="001078EE" w:rsidRDefault="00A25F64" w:rsidP="00A25F64">
      <w:pPr>
        <w:widowControl/>
        <w:autoSpaceDE w:val="0"/>
        <w:autoSpaceDN w:val="0"/>
        <w:adjustRightInd w:val="0"/>
        <w:rPr>
          <w:rFonts w:eastAsia="Calibri" w:cs="Arial"/>
          <w:bCs/>
          <w:szCs w:val="22"/>
          <w:lang w:val="en-AU" w:bidi="ar-SA"/>
        </w:rPr>
      </w:pPr>
    </w:p>
    <w:p w14:paraId="6628F643" w14:textId="77777777" w:rsidR="00A25F64" w:rsidRPr="00080692" w:rsidRDefault="00A25F64" w:rsidP="00A25F64">
      <w:pPr>
        <w:widowControl/>
        <w:autoSpaceDE w:val="0"/>
        <w:autoSpaceDN w:val="0"/>
        <w:adjustRightInd w:val="0"/>
        <w:rPr>
          <w:rFonts w:eastAsia="Calibri" w:cs="Arial"/>
          <w:bCs/>
          <w:szCs w:val="22"/>
          <w:lang w:val="en-AU" w:bidi="ar-SA"/>
        </w:rPr>
      </w:pPr>
      <w:r w:rsidRPr="001078EE">
        <w:rPr>
          <w:rFonts w:eastAsia="Calibri" w:cs="Arial"/>
          <w:bCs/>
          <w:szCs w:val="22"/>
          <w:lang w:val="en-AU" w:bidi="ar-SA"/>
        </w:rPr>
        <w:t>Section 94 of the FSANZ Act specifies that a standard, or a variation of a standard, in relation to which a notice is published under section 92 is a legislative instrument, but is not subject to parliamentary disallowance or sunsetting under the Legislation Act 2003.</w:t>
      </w:r>
    </w:p>
    <w:p w14:paraId="4C7C5F07" w14:textId="77777777" w:rsidR="00A25F64" w:rsidRPr="00D13E34" w:rsidRDefault="00A25F64" w:rsidP="00A25F64">
      <w:pPr>
        <w:widowControl/>
        <w:autoSpaceDE w:val="0"/>
        <w:autoSpaceDN w:val="0"/>
        <w:adjustRightInd w:val="0"/>
        <w:rPr>
          <w:rFonts w:eastAsia="Calibri" w:cs="Arial"/>
          <w:bCs/>
          <w:szCs w:val="22"/>
          <w:lang w:val="en-AU" w:bidi="ar-SA"/>
        </w:rPr>
      </w:pPr>
    </w:p>
    <w:p w14:paraId="5A566CFA" w14:textId="77777777" w:rsidR="00A25F64" w:rsidRDefault="00A25F64" w:rsidP="00A25F64">
      <w:pPr>
        <w:rPr>
          <w:b/>
          <w:lang w:val="en-AU" w:eastAsia="en-GB" w:bidi="ar-SA"/>
        </w:rPr>
      </w:pPr>
      <w:r>
        <w:rPr>
          <w:b/>
          <w:lang w:val="en-AU" w:eastAsia="en-GB" w:bidi="ar-SA"/>
        </w:rPr>
        <w:t>2.</w:t>
      </w:r>
      <w:r>
        <w:rPr>
          <w:b/>
          <w:lang w:val="en-AU" w:eastAsia="en-GB" w:bidi="ar-SA"/>
        </w:rPr>
        <w:tab/>
        <w:t xml:space="preserve">Purpose </w:t>
      </w:r>
    </w:p>
    <w:p w14:paraId="409FA011" w14:textId="77777777" w:rsidR="00A25F64" w:rsidRDefault="00A25F64" w:rsidP="00A25F64">
      <w:pPr>
        <w:rPr>
          <w:lang w:val="en-AU" w:eastAsia="en-GB" w:bidi="ar-SA"/>
        </w:rPr>
      </w:pPr>
    </w:p>
    <w:p w14:paraId="46CC7F92" w14:textId="77777777" w:rsidR="00A25F64" w:rsidRDefault="00A25F64" w:rsidP="00A25F64">
      <w:pPr>
        <w:rPr>
          <w:lang w:val="en-AU" w:eastAsia="en-GB" w:bidi="ar-SA"/>
        </w:rPr>
      </w:pPr>
      <w:r>
        <w:rPr>
          <w:lang w:val="en-AU" w:eastAsia="en-GB" w:bidi="ar-SA"/>
        </w:rPr>
        <w:t>The Authority has approved</w:t>
      </w:r>
      <w:r w:rsidRPr="00EA1B2D">
        <w:rPr>
          <w:lang w:val="en-AU" w:eastAsia="en-GB" w:bidi="ar-SA"/>
        </w:rPr>
        <w:t xml:space="preserve"> a</w:t>
      </w:r>
      <w:r>
        <w:rPr>
          <w:lang w:val="en-AU" w:eastAsia="en-GB" w:bidi="ar-SA"/>
        </w:rPr>
        <w:t xml:space="preserve"> draft variation to the Code to permit </w:t>
      </w:r>
      <w:r>
        <w:rPr>
          <w:rFonts w:cs="Arial"/>
          <w:lang w:val="en-AU"/>
        </w:rPr>
        <w:t>sweet osmanthus ear g</w:t>
      </w:r>
      <w:r w:rsidRPr="00B17E08">
        <w:rPr>
          <w:rFonts w:cs="Arial"/>
          <w:lang w:val="en-AU"/>
        </w:rPr>
        <w:t>lycolipids</w:t>
      </w:r>
      <w:r>
        <w:rPr>
          <w:lang w:val="en-AU" w:eastAsia="en-GB" w:bidi="ar-SA"/>
        </w:rPr>
        <w:t xml:space="preserve"> as a food additive in non-alcoholic beverages at a maximum permitted level specified in Schedule 15 (depending on the beverage category). The technological purpose of </w:t>
      </w:r>
      <w:r>
        <w:rPr>
          <w:rFonts w:cs="Arial"/>
          <w:lang w:val="en-AU"/>
        </w:rPr>
        <w:t>sweet osmanthus ear g</w:t>
      </w:r>
      <w:r w:rsidRPr="00B17E08">
        <w:rPr>
          <w:rFonts w:cs="Arial"/>
          <w:lang w:val="en-AU"/>
        </w:rPr>
        <w:t>lycolipids</w:t>
      </w:r>
      <w:r>
        <w:rPr>
          <w:lang w:val="en-AU" w:eastAsia="en-GB" w:bidi="ar-SA"/>
        </w:rPr>
        <w:t xml:space="preserve"> is use as a preservative in non-alcoholic beverages.</w:t>
      </w:r>
    </w:p>
    <w:p w14:paraId="2E46E440" w14:textId="77777777" w:rsidR="00A25F64" w:rsidRDefault="00A25F64" w:rsidP="00A25F64">
      <w:pPr>
        <w:rPr>
          <w:lang w:val="en-AU" w:eastAsia="en-GB" w:bidi="ar-SA"/>
        </w:rPr>
      </w:pPr>
    </w:p>
    <w:p w14:paraId="70AF276A" w14:textId="77777777" w:rsidR="00A25F64" w:rsidRPr="000576EB" w:rsidRDefault="00A25F64" w:rsidP="00A25F64">
      <w:pPr>
        <w:rPr>
          <w:b/>
          <w:lang w:val="en-AU" w:eastAsia="en-GB" w:bidi="ar-SA"/>
        </w:rPr>
      </w:pPr>
      <w:r w:rsidRPr="000576EB">
        <w:rPr>
          <w:b/>
          <w:lang w:val="en-AU" w:eastAsia="en-GB" w:bidi="ar-SA"/>
        </w:rPr>
        <w:t>3.</w:t>
      </w:r>
      <w:r w:rsidRPr="000576EB">
        <w:rPr>
          <w:b/>
          <w:lang w:val="en-AU" w:eastAsia="en-GB" w:bidi="ar-SA"/>
        </w:rPr>
        <w:tab/>
        <w:t>Documents incorporated by reference</w:t>
      </w:r>
    </w:p>
    <w:p w14:paraId="0A88083E" w14:textId="77777777" w:rsidR="00A25F64" w:rsidRDefault="00A25F64" w:rsidP="00A25F64">
      <w:pPr>
        <w:rPr>
          <w:lang w:val="en-AU" w:eastAsia="en-GB" w:bidi="ar-SA"/>
        </w:rPr>
      </w:pPr>
    </w:p>
    <w:p w14:paraId="1FB0FA62" w14:textId="77777777" w:rsidR="00A25F64" w:rsidRPr="00D13E34" w:rsidRDefault="00A25F64" w:rsidP="00A25F64">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63823C7E" w14:textId="77777777" w:rsidR="00A25F64" w:rsidRDefault="00A25F64" w:rsidP="00A25F64">
      <w:pPr>
        <w:rPr>
          <w:lang w:val="en-AU" w:eastAsia="en-GB" w:bidi="ar-SA"/>
        </w:rPr>
      </w:pPr>
    </w:p>
    <w:p w14:paraId="1657A523" w14:textId="77777777" w:rsidR="00A25F64" w:rsidRPr="000576EB" w:rsidRDefault="00A25F64" w:rsidP="00A25F64">
      <w:pPr>
        <w:rPr>
          <w:b/>
          <w:lang w:val="en-AU" w:eastAsia="en-GB" w:bidi="ar-SA"/>
        </w:rPr>
      </w:pPr>
      <w:r w:rsidRPr="000576EB">
        <w:rPr>
          <w:b/>
          <w:lang w:val="en-AU" w:eastAsia="en-GB" w:bidi="ar-SA"/>
        </w:rPr>
        <w:t>4.</w:t>
      </w:r>
      <w:r w:rsidRPr="000576EB">
        <w:rPr>
          <w:b/>
          <w:lang w:val="en-AU" w:eastAsia="en-GB" w:bidi="ar-SA"/>
        </w:rPr>
        <w:tab/>
        <w:t>Consultation</w:t>
      </w:r>
    </w:p>
    <w:p w14:paraId="3B66F0C1" w14:textId="77777777" w:rsidR="00A25F64" w:rsidRDefault="00A25F64" w:rsidP="00A25F64">
      <w:pPr>
        <w:rPr>
          <w:lang w:val="en-AU" w:eastAsia="en-GB" w:bidi="ar-SA"/>
        </w:rPr>
      </w:pPr>
    </w:p>
    <w:p w14:paraId="772EE910" w14:textId="77777777" w:rsidR="00A25F64" w:rsidRPr="00AC4D1A" w:rsidRDefault="00A25F64" w:rsidP="00A25F64">
      <w:pPr>
        <w:rPr>
          <w:lang w:val="en-AU"/>
        </w:rPr>
      </w:pPr>
      <w:r w:rsidRPr="00F634A1">
        <w:rPr>
          <w:szCs w:val="22"/>
        </w:rPr>
        <w:t xml:space="preserve">In accordance </w:t>
      </w:r>
      <w:r w:rsidRPr="00080692">
        <w:rPr>
          <w:szCs w:val="22"/>
        </w:rPr>
        <w:t xml:space="preserve">with the procedure in Division 1 of Part 3 of the FSANZ Act, </w:t>
      </w:r>
      <w:r w:rsidRPr="00080692">
        <w:rPr>
          <w:rFonts w:eastAsia="Calibri" w:cs="Arial"/>
          <w:bCs/>
          <w:szCs w:val="22"/>
          <w:lang w:val="en-AU" w:bidi="ar-SA"/>
        </w:rPr>
        <w:t>the Authority</w:t>
      </w:r>
      <w:r w:rsidRPr="00080692">
        <w:rPr>
          <w:szCs w:val="22"/>
        </w:rPr>
        <w:t>’s consideration of Application A1180 include</w:t>
      </w:r>
      <w:r>
        <w:rPr>
          <w:szCs w:val="22"/>
        </w:rPr>
        <w:t>d</w:t>
      </w:r>
      <w:r w:rsidRPr="00080692">
        <w:rPr>
          <w:szCs w:val="22"/>
        </w:rPr>
        <w:t xml:space="preserve"> one round of public consultation following an assessment and the preparation of a draft Standard </w:t>
      </w:r>
      <w:r w:rsidRPr="00AC4D1A">
        <w:rPr>
          <w:szCs w:val="22"/>
        </w:rPr>
        <w:t xml:space="preserve">and associated assessment summary. </w:t>
      </w:r>
    </w:p>
    <w:p w14:paraId="5DAFF98E" w14:textId="77777777" w:rsidR="00A25F64" w:rsidRPr="00AC4D1A" w:rsidRDefault="00A25F64" w:rsidP="00A25F64">
      <w:pPr>
        <w:rPr>
          <w:lang w:val="en-AU"/>
        </w:rPr>
      </w:pPr>
    </w:p>
    <w:p w14:paraId="4305A868" w14:textId="77777777" w:rsidR="00A25F64" w:rsidRPr="00AC4D1A" w:rsidRDefault="00A25F64" w:rsidP="00A25F64">
      <w:pPr>
        <w:rPr>
          <w:lang w:val="en-AU"/>
        </w:rPr>
      </w:pPr>
      <w:r w:rsidRPr="00140661">
        <w:t xml:space="preserve">The Office of Best Practice Regulation (OBPR) granted FSANZ a standing exemption from </w:t>
      </w:r>
      <w:r>
        <w:t xml:space="preserve"> </w:t>
      </w:r>
      <w:r w:rsidRPr="00140661">
        <w:t xml:space="preserve">the requirement to develop a Regulatory Impact Statement for </w:t>
      </w:r>
      <w:r>
        <w:t xml:space="preserve">permitting new food additives </w:t>
      </w:r>
      <w:r w:rsidRPr="00140661">
        <w:t xml:space="preserve">(OBPR correspondence </w:t>
      </w:r>
      <w:r>
        <w:rPr>
          <w:szCs w:val="22"/>
        </w:rPr>
        <w:t xml:space="preserve">dated 24 November 2010, reference 12065). </w:t>
      </w:r>
      <w:r w:rsidRPr="00B46EB8">
        <w:t>This standing exemption was provided as permitting food additives is machinery in nature as they are part of implementing a regulatory framework where the use of the new additive is voluntary once the application has been approved. This standing exemption relates to the introduction of a food to the food supply that has been determined to be safe.</w:t>
      </w:r>
      <w:r w:rsidRPr="00AC4D1A">
        <w:t xml:space="preserve"> </w:t>
      </w:r>
    </w:p>
    <w:p w14:paraId="4B1A863B" w14:textId="77777777" w:rsidR="00A25F64" w:rsidRPr="00AC4D1A" w:rsidRDefault="00A25F64" w:rsidP="00A25F64">
      <w:pPr>
        <w:widowControl/>
        <w:rPr>
          <w:rFonts w:eastAsiaTheme="minorHAnsi" w:cs="Arial"/>
          <w:b/>
          <w:bCs/>
          <w:szCs w:val="22"/>
          <w:lang w:val="en-AU" w:bidi="ar-SA"/>
        </w:rPr>
      </w:pPr>
    </w:p>
    <w:p w14:paraId="539C6737" w14:textId="77777777" w:rsidR="00A25F64" w:rsidRDefault="00A25F64" w:rsidP="00A25F64">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32308465" w14:textId="77777777" w:rsidR="00A25F64" w:rsidRDefault="00A25F64" w:rsidP="00A25F64">
      <w:pPr>
        <w:rPr>
          <w:rFonts w:eastAsiaTheme="minorHAnsi"/>
          <w:lang w:val="en-AU" w:bidi="ar-SA"/>
        </w:rPr>
      </w:pPr>
    </w:p>
    <w:p w14:paraId="0A53E140" w14:textId="77777777" w:rsidR="00A25F64" w:rsidRDefault="00A25F64" w:rsidP="00A25F64">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EF4FD76" w14:textId="77777777" w:rsidR="00A25F64" w:rsidRDefault="00A25F64" w:rsidP="00A25F64">
      <w:pPr>
        <w:rPr>
          <w:rFonts w:eastAsiaTheme="minorHAnsi"/>
          <w:lang w:val="en-AU" w:bidi="ar-SA"/>
        </w:rPr>
      </w:pPr>
    </w:p>
    <w:p w14:paraId="27AC6DF6" w14:textId="77777777" w:rsidR="00A25F64" w:rsidRPr="00700239" w:rsidRDefault="00A25F64" w:rsidP="00A25F64">
      <w:pPr>
        <w:rPr>
          <w:b/>
          <w:lang w:val="en-AU" w:eastAsia="en-GB" w:bidi="ar-SA"/>
        </w:rPr>
      </w:pPr>
      <w:r w:rsidRPr="00700239">
        <w:rPr>
          <w:b/>
        </w:rPr>
        <w:t>6.</w:t>
      </w:r>
      <w:r w:rsidRPr="00700239">
        <w:rPr>
          <w:b/>
        </w:rPr>
        <w:tab/>
      </w:r>
      <w:r w:rsidRPr="00700239">
        <w:rPr>
          <w:b/>
          <w:lang w:val="en-AU" w:eastAsia="en-GB" w:bidi="ar-SA"/>
        </w:rPr>
        <w:t>Variation</w:t>
      </w:r>
    </w:p>
    <w:p w14:paraId="1D0344E5" w14:textId="77777777" w:rsidR="00A25F64" w:rsidRPr="00AD344F" w:rsidRDefault="00A25F64" w:rsidP="00A25F64">
      <w:pPr>
        <w:rPr>
          <w:b/>
        </w:rPr>
      </w:pPr>
    </w:p>
    <w:p w14:paraId="2176C675" w14:textId="77777777" w:rsidR="00A25F64" w:rsidRDefault="00A25F64" w:rsidP="00A25F64">
      <w:r w:rsidRPr="00805BDC">
        <w:rPr>
          <w:b/>
        </w:rPr>
        <w:t>Item [1]</w:t>
      </w:r>
      <w:r w:rsidRPr="00896046">
        <w:t xml:space="preserve"> </w:t>
      </w:r>
      <w:r>
        <w:t xml:space="preserve">amends the table to section S2—2 in </w:t>
      </w:r>
      <w:r w:rsidRPr="00896046">
        <w:t xml:space="preserve">Schedule 2 </w:t>
      </w:r>
      <w:r>
        <w:t xml:space="preserve">by alphabetically inserting into the table: </w:t>
      </w:r>
    </w:p>
    <w:p w14:paraId="64A831FF" w14:textId="77777777" w:rsidR="00A25F64" w:rsidRDefault="00A25F64" w:rsidP="00A25F64"/>
    <w:p w14:paraId="2392E605" w14:textId="77777777" w:rsidR="00A25F64" w:rsidRDefault="00A25F64" w:rsidP="00A25F64">
      <w:pPr>
        <w:pStyle w:val="ListParagraph"/>
        <w:numPr>
          <w:ilvl w:val="0"/>
          <w:numId w:val="7"/>
        </w:numPr>
      </w:pPr>
      <w:r>
        <w:t xml:space="preserve">‘MPN’ as a new unit of measurement; and </w:t>
      </w:r>
    </w:p>
    <w:p w14:paraId="558F143F" w14:textId="77777777" w:rsidR="00A25F64" w:rsidRDefault="00A25F64" w:rsidP="00A25F64">
      <w:pPr>
        <w:pStyle w:val="ListParagraph"/>
        <w:numPr>
          <w:ilvl w:val="0"/>
          <w:numId w:val="7"/>
        </w:numPr>
      </w:pPr>
      <w:r>
        <w:t>‘most probable number’ as the meaning of MPN.</w:t>
      </w:r>
      <w:r w:rsidRPr="00896046">
        <w:t xml:space="preserve"> </w:t>
      </w:r>
    </w:p>
    <w:p w14:paraId="6D08AB32" w14:textId="77777777" w:rsidR="00A25F64" w:rsidRDefault="00A25F64" w:rsidP="00A25F64"/>
    <w:p w14:paraId="009C961A" w14:textId="77777777" w:rsidR="00A25F64" w:rsidRDefault="00A25F64" w:rsidP="00A25F64">
      <w:r>
        <w:t xml:space="preserve">‘MPN’ is a unit of measurement referred to in the new specification for </w:t>
      </w:r>
      <w:r>
        <w:rPr>
          <w:rFonts w:cs="Arial"/>
          <w:lang w:val="en-AU"/>
        </w:rPr>
        <w:t>sweet osmanthus ear g</w:t>
      </w:r>
      <w:r w:rsidRPr="00B17E08">
        <w:rPr>
          <w:rFonts w:cs="Arial"/>
          <w:lang w:val="en-AU"/>
        </w:rPr>
        <w:t>lycolipids</w:t>
      </w:r>
      <w:r>
        <w:t xml:space="preserve"> (see subitem [2.2] below).</w:t>
      </w:r>
    </w:p>
    <w:p w14:paraId="12371D85" w14:textId="77777777" w:rsidR="00A25F64" w:rsidRDefault="00A25F64" w:rsidP="00A25F64"/>
    <w:p w14:paraId="67742206" w14:textId="77777777" w:rsidR="00A25F64" w:rsidRDefault="00A25F64" w:rsidP="00A25F64">
      <w:r w:rsidRPr="00805BDC">
        <w:rPr>
          <w:b/>
        </w:rPr>
        <w:t>Item [2]</w:t>
      </w:r>
      <w:r>
        <w:t xml:space="preserve"> amends</w:t>
      </w:r>
      <w:r w:rsidRPr="00F74C9D">
        <w:t xml:space="preserve"> Schedule 3 </w:t>
      </w:r>
      <w:r>
        <w:t>by</w:t>
      </w:r>
      <w:r w:rsidRPr="00F74C9D">
        <w:t xml:space="preserve"> </w:t>
      </w:r>
      <w:r>
        <w:t>including</w:t>
      </w:r>
      <w:r w:rsidRPr="00F74C9D">
        <w:t xml:space="preserve"> </w:t>
      </w:r>
      <w:r>
        <w:t>a</w:t>
      </w:r>
      <w:r w:rsidRPr="00F74C9D">
        <w:t xml:space="preserve"> specification for </w:t>
      </w:r>
      <w:r>
        <w:rPr>
          <w:rFonts w:cs="Arial"/>
          <w:lang w:val="en-AU"/>
        </w:rPr>
        <w:t>sweet osmanthus ear g</w:t>
      </w:r>
      <w:r w:rsidRPr="00B17E08">
        <w:rPr>
          <w:rFonts w:cs="Arial"/>
          <w:lang w:val="en-AU"/>
        </w:rPr>
        <w:t>lycolipids</w:t>
      </w:r>
      <w:r>
        <w:t>.</w:t>
      </w:r>
    </w:p>
    <w:p w14:paraId="6D4A3A0C" w14:textId="77777777" w:rsidR="00A25F64" w:rsidRDefault="00A25F64" w:rsidP="00A25F64"/>
    <w:p w14:paraId="53A1DC3D" w14:textId="77777777" w:rsidR="00A25F64" w:rsidRDefault="00A25F64" w:rsidP="00A25F64">
      <w:r>
        <w:t>Subitem [2.1] inserts ‘</w:t>
      </w:r>
      <w:r>
        <w:rPr>
          <w:rFonts w:cs="Arial"/>
          <w:lang w:val="en-AU"/>
        </w:rPr>
        <w:t>sweet osmanthus ear g</w:t>
      </w:r>
      <w:r w:rsidRPr="00B17E08">
        <w:rPr>
          <w:rFonts w:cs="Arial"/>
          <w:lang w:val="en-AU"/>
        </w:rPr>
        <w:t>lycolipids</w:t>
      </w:r>
      <w:r>
        <w:t>’ and ‘</w:t>
      </w:r>
      <w:r w:rsidRPr="00E6453F">
        <w:t>section S3—43</w:t>
      </w:r>
      <w:r>
        <w:t>’</w:t>
      </w:r>
      <w:r w:rsidRPr="00E6453F">
        <w:t xml:space="preserve"> in the table to subsection S3—2(2)</w:t>
      </w:r>
      <w:r>
        <w:t>,</w:t>
      </w:r>
      <w:r w:rsidRPr="00E6453F">
        <w:t xml:space="preserve"> in alphabetical order</w:t>
      </w:r>
      <w:r>
        <w:t>. This table sets out the relevant provisions where specifications for the listed substances are set out in Schedule 3.</w:t>
      </w:r>
    </w:p>
    <w:p w14:paraId="038AEFFF" w14:textId="77777777" w:rsidR="00A25F64" w:rsidRDefault="00A25F64" w:rsidP="00A25F64"/>
    <w:p w14:paraId="0425C954" w14:textId="77777777" w:rsidR="00A25F64" w:rsidRDefault="00A25F64" w:rsidP="00A25F64">
      <w:r>
        <w:t xml:space="preserve">Subitem [2.2] inserts the actual specification for </w:t>
      </w:r>
      <w:r>
        <w:rPr>
          <w:rFonts w:cs="Arial"/>
          <w:lang w:val="en-AU"/>
        </w:rPr>
        <w:t>sweet osmanthus ear g</w:t>
      </w:r>
      <w:r w:rsidRPr="00B17E08">
        <w:rPr>
          <w:rFonts w:cs="Arial"/>
          <w:lang w:val="en-AU"/>
        </w:rPr>
        <w:t>lycolipids</w:t>
      </w:r>
      <w:r>
        <w:t xml:space="preserve"> in Schedule 3.</w:t>
      </w:r>
    </w:p>
    <w:p w14:paraId="38A95E21" w14:textId="77777777" w:rsidR="00A25F64" w:rsidRPr="00CF148D" w:rsidRDefault="00A25F64" w:rsidP="00A25F64"/>
    <w:p w14:paraId="548CDDD2" w14:textId="77777777" w:rsidR="00A25F64" w:rsidRDefault="00A25F64" w:rsidP="00A25F64">
      <w:r w:rsidRPr="00805BDC">
        <w:rPr>
          <w:b/>
        </w:rPr>
        <w:t>Item [3]</w:t>
      </w:r>
      <w:r w:rsidRPr="00F74C9D">
        <w:t xml:space="preserve"> </w:t>
      </w:r>
      <w:r>
        <w:t xml:space="preserve">amends </w:t>
      </w:r>
      <w:r w:rsidRPr="00F74C9D">
        <w:t xml:space="preserve">Schedule 8 </w:t>
      </w:r>
      <w:r>
        <w:t>by</w:t>
      </w:r>
      <w:r w:rsidRPr="00F74C9D">
        <w:t xml:space="preserve"> </w:t>
      </w:r>
      <w:r>
        <w:t>inserting</w:t>
      </w:r>
      <w:r w:rsidRPr="00F74C9D">
        <w:t xml:space="preserve"> </w:t>
      </w:r>
      <w:r>
        <w:t>‘</w:t>
      </w:r>
      <w:r>
        <w:rPr>
          <w:rFonts w:cs="Arial"/>
          <w:lang w:val="en-AU"/>
        </w:rPr>
        <w:t>sweet osmanthus ear g</w:t>
      </w:r>
      <w:r w:rsidRPr="00B17E08">
        <w:rPr>
          <w:rFonts w:cs="Arial"/>
          <w:lang w:val="en-AU"/>
        </w:rPr>
        <w:t>lycolipids</w:t>
      </w:r>
      <w:r>
        <w:t>’</w:t>
      </w:r>
      <w:r w:rsidRPr="00F74C9D">
        <w:t xml:space="preserve"> in</w:t>
      </w:r>
      <w:r>
        <w:t>to</w:t>
      </w:r>
      <w:r w:rsidRPr="00F74C9D">
        <w:t xml:space="preserve"> each of the </w:t>
      </w:r>
      <w:r>
        <w:t xml:space="preserve">following </w:t>
      </w:r>
      <w:r w:rsidRPr="00F74C9D">
        <w:t xml:space="preserve">tables </w:t>
      </w:r>
      <w:r w:rsidRPr="005814B5">
        <w:t xml:space="preserve">to </w:t>
      </w:r>
      <w:r>
        <w:t>section S8—</w:t>
      </w:r>
      <w:r w:rsidRPr="00F74C9D">
        <w:t>2</w:t>
      </w:r>
      <w:r>
        <w:t>:</w:t>
      </w:r>
    </w:p>
    <w:p w14:paraId="3B26A638" w14:textId="77777777" w:rsidR="00A25F64" w:rsidRDefault="00A25F64" w:rsidP="00A25F64"/>
    <w:p w14:paraId="54C37F85" w14:textId="77777777" w:rsidR="00A25F64" w:rsidRDefault="00A25F64" w:rsidP="00A25F64">
      <w:pPr>
        <w:pStyle w:val="ListParagraph"/>
        <w:numPr>
          <w:ilvl w:val="0"/>
          <w:numId w:val="6"/>
        </w:numPr>
      </w:pPr>
      <w:r w:rsidRPr="005814B5">
        <w:t>the table to section S8—2 entitled ‘Food additive names—alphabetical listing’</w:t>
      </w:r>
      <w:r>
        <w:t xml:space="preserve"> (alphabetically) (see subitem [3.1]); and</w:t>
      </w:r>
    </w:p>
    <w:p w14:paraId="6AFFEE9A" w14:textId="77777777" w:rsidR="00A25F64" w:rsidRDefault="00A25F64" w:rsidP="00A25F64">
      <w:pPr>
        <w:pStyle w:val="ListParagraph"/>
        <w:numPr>
          <w:ilvl w:val="0"/>
          <w:numId w:val="6"/>
        </w:numPr>
      </w:pPr>
      <w:r w:rsidRPr="005814B5">
        <w:t>the table to section S8—2 entitled ‘Food ad</w:t>
      </w:r>
      <w:r>
        <w:t>ditive names—numerical listing’</w:t>
      </w:r>
      <w:r w:rsidRPr="005814B5">
        <w:t xml:space="preserve"> </w:t>
      </w:r>
      <w:r>
        <w:t>(</w:t>
      </w:r>
      <w:r w:rsidRPr="005814B5">
        <w:t>above the entry for ‘</w:t>
      </w:r>
      <w:r w:rsidRPr="00FC3654">
        <w:t>Sodium hydrosulphite</w:t>
      </w:r>
      <w:r w:rsidRPr="005814B5">
        <w:t>’</w:t>
      </w:r>
      <w:r>
        <w:t>) (see subitem [3.2]).</w:t>
      </w:r>
    </w:p>
    <w:p w14:paraId="77716940" w14:textId="77777777" w:rsidR="00A25F64" w:rsidRDefault="00A25F64" w:rsidP="00A25F64"/>
    <w:p w14:paraId="54DFBE40" w14:textId="77777777" w:rsidR="00A25F64" w:rsidRDefault="00A25F64" w:rsidP="00A25F64">
      <w:r w:rsidRPr="00F74C9D">
        <w:t xml:space="preserve">No </w:t>
      </w:r>
      <w:r>
        <w:t xml:space="preserve">INS </w:t>
      </w:r>
      <w:r w:rsidRPr="00F74C9D">
        <w:t xml:space="preserve">number is prescribed as there is no current INS number </w:t>
      </w:r>
      <w:r>
        <w:t xml:space="preserve">for </w:t>
      </w:r>
      <w:r>
        <w:rPr>
          <w:rFonts w:cs="Arial"/>
          <w:lang w:val="en-AU"/>
        </w:rPr>
        <w:t>sweet osmanthus ear g</w:t>
      </w:r>
      <w:r w:rsidRPr="00B17E08">
        <w:rPr>
          <w:rFonts w:cs="Arial"/>
          <w:lang w:val="en-AU"/>
        </w:rPr>
        <w:t>lycolipids</w:t>
      </w:r>
      <w:r>
        <w:t xml:space="preserve">. </w:t>
      </w:r>
    </w:p>
    <w:p w14:paraId="26927CC9" w14:textId="77777777" w:rsidR="00A25F64" w:rsidRDefault="00A25F64" w:rsidP="00A25F64"/>
    <w:p w14:paraId="5CC9F532" w14:textId="77777777" w:rsidR="00A25F64" w:rsidRDefault="00A25F64" w:rsidP="00A25F64">
      <w:r>
        <w:t>The effect of this amendment is that, for the purposes of subsection 1.2.4—7(1) of the Code, ‘</w:t>
      </w:r>
      <w:r>
        <w:rPr>
          <w:rFonts w:cs="Arial"/>
          <w:lang w:val="en-AU"/>
        </w:rPr>
        <w:t>Sweet osmanthus ear g</w:t>
      </w:r>
      <w:r w:rsidRPr="00B17E08">
        <w:rPr>
          <w:rFonts w:cs="Arial"/>
          <w:lang w:val="en-AU"/>
        </w:rPr>
        <w:t>lycolipids</w:t>
      </w:r>
      <w:r>
        <w:t xml:space="preserve">’ must be listed in the statement of ingredients for a food in which </w:t>
      </w:r>
      <w:r>
        <w:rPr>
          <w:rFonts w:cs="Arial"/>
          <w:lang w:val="en-AU"/>
        </w:rPr>
        <w:t xml:space="preserve">sweet osmanthus ear glycolipids </w:t>
      </w:r>
      <w:r>
        <w:t xml:space="preserve">is used as a food additive. </w:t>
      </w:r>
    </w:p>
    <w:p w14:paraId="4AD0789F" w14:textId="77777777" w:rsidR="00A25F64" w:rsidRPr="00CF148D" w:rsidRDefault="00A25F64" w:rsidP="00A25F64"/>
    <w:p w14:paraId="3AB05676" w14:textId="77777777" w:rsidR="00A25F64" w:rsidRDefault="00A25F64" w:rsidP="00A25F64">
      <w:r w:rsidRPr="00805BDC">
        <w:rPr>
          <w:b/>
        </w:rPr>
        <w:t>Item [4]</w:t>
      </w:r>
      <w:r w:rsidRPr="00F74C9D">
        <w:t xml:space="preserve"> </w:t>
      </w:r>
      <w:r>
        <w:t xml:space="preserve">amends </w:t>
      </w:r>
      <w:r w:rsidRPr="003D5500">
        <w:t xml:space="preserve">the table to section S15–5 </w:t>
      </w:r>
      <w:r>
        <w:t>by</w:t>
      </w:r>
      <w:r w:rsidRPr="00F74C9D">
        <w:t xml:space="preserve"> </w:t>
      </w:r>
      <w:r>
        <w:t>inserting</w:t>
      </w:r>
      <w:r w:rsidRPr="00F74C9D">
        <w:t xml:space="preserve"> </w:t>
      </w:r>
      <w:r>
        <w:t>‘</w:t>
      </w:r>
      <w:r>
        <w:rPr>
          <w:rFonts w:cs="Arial"/>
          <w:lang w:val="en-AU"/>
        </w:rPr>
        <w:t>sweet osmanthus ear g</w:t>
      </w:r>
      <w:r w:rsidRPr="00B17E08">
        <w:rPr>
          <w:rFonts w:cs="Arial"/>
          <w:lang w:val="en-AU"/>
        </w:rPr>
        <w:t>lycolipids</w:t>
      </w:r>
      <w:r>
        <w:t>’</w:t>
      </w:r>
      <w:r w:rsidRPr="00F74C9D">
        <w:t xml:space="preserve"> </w:t>
      </w:r>
      <w:r>
        <w:t>and</w:t>
      </w:r>
      <w:r w:rsidRPr="00F74C9D">
        <w:t xml:space="preserve"> </w:t>
      </w:r>
      <w:r>
        <w:t>specified</w:t>
      </w:r>
      <w:r w:rsidRPr="00F74C9D">
        <w:t xml:space="preserve"> maximum permitted levels </w:t>
      </w:r>
      <w:r>
        <w:t xml:space="preserve">into the table </w:t>
      </w:r>
      <w:r w:rsidRPr="00F74C9D">
        <w:t xml:space="preserve">for </w:t>
      </w:r>
      <w:r>
        <w:t>the following categories of</w:t>
      </w:r>
      <w:r w:rsidRPr="00F74C9D">
        <w:t xml:space="preserve"> beverages</w:t>
      </w:r>
      <w:r>
        <w:t>:</w:t>
      </w:r>
    </w:p>
    <w:p w14:paraId="19F1B985" w14:textId="77777777" w:rsidR="00A25F64" w:rsidRDefault="00A25F64" w:rsidP="00A25F64"/>
    <w:p w14:paraId="6966F62F" w14:textId="77777777" w:rsidR="00A25F64" w:rsidRDefault="00A25F64" w:rsidP="00A25F64">
      <w:pPr>
        <w:pStyle w:val="ListParagraph"/>
        <w:numPr>
          <w:ilvl w:val="0"/>
          <w:numId w:val="8"/>
        </w:numPr>
        <w:rPr>
          <w:lang w:bidi="ar-SA"/>
        </w:rPr>
      </w:pPr>
      <w:r>
        <w:rPr>
          <w:lang w:bidi="ar-SA"/>
        </w:rPr>
        <w:t>subitem [4.1] - 100 mg/kg</w:t>
      </w:r>
      <w:r w:rsidRPr="00C70C12">
        <w:rPr>
          <w:lang w:bidi="ar-SA"/>
        </w:rPr>
        <w:t xml:space="preserve"> for Fruit and vegetable juices and fruit and vegetable juice products</w:t>
      </w:r>
      <w:r>
        <w:rPr>
          <w:lang w:bidi="ar-SA"/>
        </w:rPr>
        <w:t>;</w:t>
      </w:r>
    </w:p>
    <w:p w14:paraId="2DFF653B" w14:textId="77777777" w:rsidR="00A25F64" w:rsidRDefault="00A25F64" w:rsidP="00A25F64">
      <w:pPr>
        <w:pStyle w:val="ListParagraph"/>
        <w:numPr>
          <w:ilvl w:val="0"/>
          <w:numId w:val="8"/>
        </w:numPr>
        <w:rPr>
          <w:lang w:bidi="ar-SA"/>
        </w:rPr>
      </w:pPr>
      <w:r>
        <w:rPr>
          <w:lang w:bidi="ar-SA"/>
        </w:rPr>
        <w:t>subitem [4.2] - 50 mg/kg</w:t>
      </w:r>
      <w:r w:rsidRPr="00C70C12">
        <w:rPr>
          <w:lang w:bidi="ar-SA"/>
        </w:rPr>
        <w:t xml:space="preserve"> for Water based flavoured drinks</w:t>
      </w:r>
      <w:r>
        <w:rPr>
          <w:lang w:bidi="ar-SA"/>
        </w:rPr>
        <w:t>;</w:t>
      </w:r>
    </w:p>
    <w:p w14:paraId="39DB6173" w14:textId="77777777" w:rsidR="00A25F64" w:rsidRDefault="00A25F64" w:rsidP="00A25F64">
      <w:pPr>
        <w:pStyle w:val="ListParagraph"/>
        <w:numPr>
          <w:ilvl w:val="0"/>
          <w:numId w:val="8"/>
        </w:numPr>
        <w:rPr>
          <w:lang w:bidi="ar-SA"/>
        </w:rPr>
      </w:pPr>
      <w:r>
        <w:rPr>
          <w:lang w:bidi="ar-SA"/>
        </w:rPr>
        <w:t>subitem [4.3] - 20 mg/kg</w:t>
      </w:r>
      <w:r w:rsidRPr="00C70C12">
        <w:rPr>
          <w:lang w:bidi="ar-SA"/>
        </w:rPr>
        <w:t xml:space="preserve"> for Formulated Beverages</w:t>
      </w:r>
      <w:r>
        <w:rPr>
          <w:lang w:bidi="ar-SA"/>
        </w:rPr>
        <w:t>;</w:t>
      </w:r>
    </w:p>
    <w:p w14:paraId="30364A87" w14:textId="77777777" w:rsidR="00A25F64" w:rsidRDefault="00A25F64" w:rsidP="00A25F64">
      <w:pPr>
        <w:pStyle w:val="ListParagraph"/>
        <w:numPr>
          <w:ilvl w:val="0"/>
          <w:numId w:val="8"/>
        </w:numPr>
        <w:rPr>
          <w:lang w:bidi="ar-SA"/>
        </w:rPr>
      </w:pPr>
      <w:r>
        <w:rPr>
          <w:lang w:bidi="ar-SA"/>
        </w:rPr>
        <w:t>subitem</w:t>
      </w:r>
      <w:r>
        <w:t xml:space="preserve"> [4.4] - 10 mg/kg</w:t>
      </w:r>
      <w:r w:rsidRPr="00C70C12">
        <w:t xml:space="preserve"> for Coffee, coffee substitutes, tea, herbal infusions and similar products</w:t>
      </w:r>
      <w:r>
        <w:t>;</w:t>
      </w:r>
    </w:p>
    <w:p w14:paraId="2DD5D70A" w14:textId="77777777" w:rsidR="00A25F64" w:rsidRPr="00896046" w:rsidRDefault="00A25F64" w:rsidP="00A25F64">
      <w:pPr>
        <w:pStyle w:val="ListParagraph"/>
        <w:numPr>
          <w:ilvl w:val="0"/>
          <w:numId w:val="8"/>
        </w:numPr>
      </w:pPr>
      <w:r>
        <w:rPr>
          <w:lang w:bidi="ar-SA"/>
        </w:rPr>
        <w:t>subitem</w:t>
      </w:r>
      <w:r>
        <w:t xml:space="preserve"> [4.5] - 100 mg/kg</w:t>
      </w:r>
      <w:r w:rsidRPr="00C70C12">
        <w:t xml:space="preserve"> for beer</w:t>
      </w:r>
      <w:r>
        <w:t xml:space="preserve"> </w:t>
      </w:r>
      <w:r w:rsidRPr="00B51D48">
        <w:t>where the alcohol has been removed</w:t>
      </w:r>
      <w:r>
        <w:t>.</w:t>
      </w:r>
      <w:r w:rsidRPr="00C70C12">
        <w:t xml:space="preserve"> </w:t>
      </w:r>
      <w:r>
        <w:br/>
      </w:r>
    </w:p>
    <w:p w14:paraId="346ADACD" w14:textId="14CC58E2" w:rsidR="0012388D" w:rsidRDefault="00A25F64" w:rsidP="00A25F64">
      <w:r w:rsidRPr="00266996">
        <w:t xml:space="preserve">The effect of this amendment </w:t>
      </w:r>
      <w:r>
        <w:t>is</w:t>
      </w:r>
      <w:r w:rsidRPr="00266996">
        <w:t xml:space="preserve"> to permit, for the purposes of Standard 1.3.1, the use of </w:t>
      </w:r>
      <w:r>
        <w:rPr>
          <w:rFonts w:cs="Arial"/>
          <w:lang w:val="en-AU"/>
        </w:rPr>
        <w:t>sweet osmanthus ear g</w:t>
      </w:r>
      <w:r w:rsidRPr="00B17E08">
        <w:rPr>
          <w:rFonts w:cs="Arial"/>
          <w:lang w:val="en-AU"/>
        </w:rPr>
        <w:t>lycolipids</w:t>
      </w:r>
      <w:r>
        <w:t xml:space="preserve"> as a food additive in those categories of beverages at the specified maximum permitted levels</w:t>
      </w:r>
      <w:r w:rsidRPr="00266996">
        <w:t>.</w:t>
      </w:r>
      <w:bookmarkStart w:id="159" w:name="_Toc11735637"/>
      <w:bookmarkStart w:id="160" w:name="_Toc29883122"/>
      <w:bookmarkStart w:id="161" w:name="_Toc41906809"/>
      <w:bookmarkStart w:id="162" w:name="_Toc41907556"/>
      <w:bookmarkStart w:id="163" w:name="_Toc120358587"/>
      <w:bookmarkStart w:id="164" w:name="_Toc175381446"/>
      <w:bookmarkStart w:id="165" w:name="_Toc175381454"/>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sectPr w:rsidR="0012388D" w:rsidSect="00760C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D0CC1" w14:textId="77777777" w:rsidR="000923A6" w:rsidRDefault="000923A6">
      <w:r>
        <w:separator/>
      </w:r>
    </w:p>
    <w:p w14:paraId="477F3B5A" w14:textId="77777777" w:rsidR="000923A6" w:rsidRDefault="000923A6"/>
  </w:endnote>
  <w:endnote w:type="continuationSeparator" w:id="0">
    <w:p w14:paraId="75075220" w14:textId="77777777" w:rsidR="000923A6" w:rsidRDefault="000923A6">
      <w:r>
        <w:continuationSeparator/>
      </w:r>
    </w:p>
    <w:p w14:paraId="34E68E09" w14:textId="77777777" w:rsidR="000923A6" w:rsidRDefault="000923A6"/>
  </w:endnote>
  <w:endnote w:type="continuationNotice" w:id="1">
    <w:p w14:paraId="3C118F92" w14:textId="77777777" w:rsidR="000923A6" w:rsidRDefault="00092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70DA2768" w:rsidR="00192A16" w:rsidRDefault="00192A16" w:rsidP="00622571">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192A16" w:rsidRDefault="00192A16" w:rsidP="00DC7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2CC46" w14:textId="226C943A" w:rsidR="00192A16" w:rsidRDefault="00192A16" w:rsidP="00A671E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923A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923A6">
      <w:rPr>
        <w:b/>
        <w:bCs/>
        <w:noProof/>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D550F" w14:textId="77777777" w:rsidR="000923A6" w:rsidRDefault="000923A6">
      <w:r>
        <w:separator/>
      </w:r>
    </w:p>
  </w:footnote>
  <w:footnote w:type="continuationSeparator" w:id="0">
    <w:p w14:paraId="12C233C7" w14:textId="77777777" w:rsidR="000923A6" w:rsidRDefault="000923A6">
      <w:r>
        <w:continuationSeparator/>
      </w:r>
    </w:p>
  </w:footnote>
  <w:footnote w:type="continuationNotice" w:id="1">
    <w:p w14:paraId="701CD781" w14:textId="77777777" w:rsidR="000923A6" w:rsidRDefault="000923A6"/>
  </w:footnote>
  <w:footnote w:id="2">
    <w:p w14:paraId="40E751F6" w14:textId="77777777" w:rsidR="00192A16" w:rsidRPr="00E351D9" w:rsidRDefault="00192A16" w:rsidP="00D90705">
      <w:pPr>
        <w:pStyle w:val="FootnoteText"/>
        <w:rPr>
          <w:lang w:val="en-AU"/>
        </w:rPr>
      </w:pPr>
      <w:r>
        <w:rPr>
          <w:rStyle w:val="FootnoteReference"/>
        </w:rPr>
        <w:footnoteRef/>
      </w:r>
      <w:r>
        <w:t xml:space="preserve"> </w:t>
      </w:r>
      <w:r w:rsidRPr="00C3034E">
        <w:rPr>
          <w:sz w:val="18"/>
        </w:rPr>
        <w:t xml:space="preserve">Non-alcoholic beverage categories: </w:t>
      </w:r>
      <w:r w:rsidRPr="0004778F">
        <w:rPr>
          <w:iCs/>
          <w:sz w:val="18"/>
          <w:szCs w:val="18"/>
        </w:rPr>
        <w:t>Fruit and vegetable juices and fruit and vegetable juice products</w:t>
      </w:r>
      <w:r>
        <w:rPr>
          <w:iCs/>
          <w:sz w:val="18"/>
          <w:szCs w:val="18"/>
        </w:rPr>
        <w:t xml:space="preserve">, </w:t>
      </w:r>
      <w:r w:rsidRPr="0004778F">
        <w:rPr>
          <w:iCs/>
          <w:sz w:val="18"/>
          <w:szCs w:val="18"/>
        </w:rPr>
        <w:t>Water based flavoured drinks</w:t>
      </w:r>
      <w:r>
        <w:rPr>
          <w:iCs/>
          <w:sz w:val="18"/>
          <w:szCs w:val="18"/>
        </w:rPr>
        <w:t xml:space="preserve">, </w:t>
      </w:r>
      <w:r w:rsidRPr="0004778F">
        <w:rPr>
          <w:iCs/>
          <w:sz w:val="18"/>
          <w:szCs w:val="18"/>
        </w:rPr>
        <w:t>Formulated Beverages</w:t>
      </w:r>
      <w:r>
        <w:rPr>
          <w:iCs/>
          <w:sz w:val="18"/>
          <w:szCs w:val="18"/>
        </w:rPr>
        <w:t xml:space="preserve">, </w:t>
      </w:r>
      <w:r w:rsidRPr="0004778F">
        <w:rPr>
          <w:iCs/>
          <w:sz w:val="18"/>
          <w:szCs w:val="18"/>
        </w:rPr>
        <w:t>Coffee, coffee substitutes, tea, herbal infusions and similar products</w:t>
      </w:r>
      <w:r>
        <w:rPr>
          <w:iCs/>
          <w:sz w:val="18"/>
          <w:szCs w:val="18"/>
        </w:rPr>
        <w:t xml:space="preserve">, and non-alcoholic beer.  </w:t>
      </w:r>
    </w:p>
  </w:footnote>
  <w:footnote w:id="3">
    <w:p w14:paraId="3A9ABABD" w14:textId="77777777" w:rsidR="00192A16" w:rsidRPr="000D50F4" w:rsidRDefault="00192A16" w:rsidP="00C11502">
      <w:pPr>
        <w:pStyle w:val="FootnoteText"/>
        <w:rPr>
          <w:lang w:val="en-AU"/>
        </w:rPr>
      </w:pPr>
      <w:r>
        <w:rPr>
          <w:rStyle w:val="FootnoteReference"/>
        </w:rPr>
        <w:footnoteRef/>
      </w:r>
      <w:r>
        <w:t xml:space="preserve"> </w:t>
      </w:r>
      <w:r>
        <w:rPr>
          <w:lang w:val="en-AU"/>
        </w:rPr>
        <w:t xml:space="preserve">Maximum Permitted Level. </w:t>
      </w:r>
    </w:p>
  </w:footnote>
  <w:footnote w:id="4">
    <w:p w14:paraId="5CFAC9E3" w14:textId="77777777" w:rsidR="00192A16" w:rsidRPr="00455EC8" w:rsidRDefault="00192A16" w:rsidP="00C11502">
      <w:pPr>
        <w:pStyle w:val="FootnoteText"/>
        <w:rPr>
          <w:lang w:val="en-AU"/>
        </w:rPr>
      </w:pPr>
      <w:r>
        <w:rPr>
          <w:rStyle w:val="FootnoteReference"/>
        </w:rPr>
        <w:footnoteRef/>
      </w:r>
      <w:r>
        <w:t xml:space="preserve"> </w:t>
      </w:r>
      <w:r w:rsidRPr="000713D4">
        <w:rPr>
          <w:lang w:eastAsia="en-AU"/>
        </w:rPr>
        <w:t xml:space="preserve">US FDA (2017) GRAS Notice (GRN) No. 740: GRAS Notification for Long-Chain Glycolipids from </w:t>
      </w:r>
      <w:r w:rsidRPr="000713D4">
        <w:rPr>
          <w:i/>
          <w:lang w:eastAsia="en-AU"/>
        </w:rPr>
        <w:t>Dacryopinax spathularia</w:t>
      </w:r>
      <w:r w:rsidRPr="000713D4">
        <w:rPr>
          <w:lang w:eastAsia="en-AU"/>
        </w:rPr>
        <w:t xml:space="preserve">. Accessed 3 June 2020. </w:t>
      </w:r>
      <w:hyperlink r:id="rId1" w:history="1">
        <w:r w:rsidRPr="000713D4">
          <w:rPr>
            <w:rStyle w:val="Hyperlink"/>
            <w:lang w:eastAsia="en-AU"/>
          </w:rPr>
          <w:t>https://www.fda.gov/media/113331/download</w:t>
        </w:r>
      </w:hyperlink>
    </w:p>
  </w:footnote>
  <w:footnote w:id="5">
    <w:p w14:paraId="6496AA77" w14:textId="77777777" w:rsidR="00192A16" w:rsidRPr="00D839CF" w:rsidRDefault="00192A16" w:rsidP="00C11502">
      <w:pPr>
        <w:pStyle w:val="FootnoteText"/>
        <w:rPr>
          <w:lang w:val="en-AU"/>
        </w:rPr>
      </w:pPr>
      <w:r>
        <w:rPr>
          <w:rStyle w:val="FootnoteReference"/>
        </w:rPr>
        <w:footnoteRef/>
      </w:r>
      <w:r>
        <w:t xml:space="preserve"> </w:t>
      </w:r>
      <w:r>
        <w:rPr>
          <w:lang w:val="en-AU"/>
        </w:rPr>
        <w:t>The four names listed in the GRAS notification are: jelly mushroom glycolipids, s</w:t>
      </w:r>
      <w:r w:rsidRPr="00D839CF">
        <w:rPr>
          <w:lang w:val="en-AU"/>
        </w:rPr>
        <w:t>weet osmanthus ear glycolipids</w:t>
      </w:r>
      <w:r>
        <w:rPr>
          <w:lang w:val="en-AU"/>
        </w:rPr>
        <w:t xml:space="preserve">, </w:t>
      </w:r>
      <w:r w:rsidRPr="00D839CF">
        <w:rPr>
          <w:i/>
          <w:lang w:val="en-AU"/>
        </w:rPr>
        <w:t>Cantharellus spathularius</w:t>
      </w:r>
      <w:r>
        <w:rPr>
          <w:lang w:val="en-AU"/>
        </w:rPr>
        <w:t xml:space="preserve"> ferment extract, m</w:t>
      </w:r>
      <w:r w:rsidRPr="00D839CF">
        <w:rPr>
          <w:lang w:val="en-AU"/>
        </w:rPr>
        <w:t>ushroom ferment extract (</w:t>
      </w:r>
      <w:r w:rsidRPr="00D839CF">
        <w:rPr>
          <w:i/>
          <w:lang w:val="en-AU"/>
        </w:rPr>
        <w:t>Dacryopinax spathularia</w:t>
      </w:r>
      <w:r w:rsidRPr="00D839CF">
        <w:rPr>
          <w:lang w:val="en-AU"/>
        </w:rPr>
        <w:t>).</w:t>
      </w:r>
    </w:p>
  </w:footnote>
  <w:footnote w:id="6">
    <w:p w14:paraId="72A4817F" w14:textId="77777777" w:rsidR="00192A16" w:rsidRPr="008D0C7A" w:rsidRDefault="00192A16" w:rsidP="00D90705">
      <w:pPr>
        <w:pStyle w:val="FootnoteText"/>
        <w:rPr>
          <w:lang w:val="en-AU"/>
        </w:rPr>
      </w:pPr>
      <w:r>
        <w:rPr>
          <w:rStyle w:val="FootnoteReference"/>
        </w:rPr>
        <w:footnoteRef/>
      </w:r>
      <w:r>
        <w:t xml:space="preserve"> </w:t>
      </w:r>
      <w:r w:rsidRPr="0091123E">
        <w:t>https://www.fda.gov/media/113331/download</w:t>
      </w:r>
    </w:p>
  </w:footnote>
  <w:footnote w:id="7">
    <w:p w14:paraId="696907B2" w14:textId="77777777" w:rsidR="00192A16" w:rsidRPr="000B287C" w:rsidRDefault="00192A16" w:rsidP="00C11502">
      <w:pPr>
        <w:pStyle w:val="FootnoteText"/>
        <w:rPr>
          <w:lang w:val="en-AU"/>
        </w:rPr>
      </w:pPr>
      <w:r>
        <w:rPr>
          <w:rStyle w:val="FootnoteReference"/>
        </w:rPr>
        <w:footnoteRef/>
      </w:r>
      <w:r>
        <w:t xml:space="preserve"> </w:t>
      </w:r>
      <w:r w:rsidRPr="000713D4">
        <w:rPr>
          <w:lang w:eastAsia="en-AU"/>
        </w:rPr>
        <w:t xml:space="preserve">US FDA (2017) GRAS Notice (GRN) No. 740: GRAS Notification for Long-Chain Glycolipids from </w:t>
      </w:r>
      <w:r w:rsidRPr="000713D4">
        <w:rPr>
          <w:i/>
          <w:lang w:eastAsia="en-AU"/>
        </w:rPr>
        <w:t>Dacryopinax spathularia</w:t>
      </w:r>
      <w:r w:rsidRPr="000713D4">
        <w:rPr>
          <w:lang w:eastAsia="en-AU"/>
        </w:rPr>
        <w:t xml:space="preserve">. Accessed 3 June 2020. </w:t>
      </w:r>
      <w:hyperlink r:id="rId2" w:history="1">
        <w:r w:rsidRPr="000713D4">
          <w:rPr>
            <w:rStyle w:val="Hyperlink"/>
            <w:lang w:eastAsia="en-AU"/>
          </w:rPr>
          <w:t>https://www.fda.gov/media/113331/download</w:t>
        </w:r>
      </w:hyperlink>
    </w:p>
  </w:footnote>
  <w:footnote w:id="8">
    <w:p w14:paraId="0DB1BCA0" w14:textId="77777777" w:rsidR="00192A16" w:rsidRPr="006115C5" w:rsidRDefault="00192A16" w:rsidP="00C11502">
      <w:pPr>
        <w:pStyle w:val="FootnoteText"/>
        <w:rPr>
          <w:lang w:val="en-AU"/>
        </w:rPr>
      </w:pPr>
      <w:r w:rsidRPr="00DA2754">
        <w:rPr>
          <w:rStyle w:val="FootnoteReference"/>
          <w:sz w:val="18"/>
          <w:szCs w:val="18"/>
        </w:rPr>
        <w:footnoteRef/>
      </w:r>
      <w:r w:rsidRPr="00DA2754">
        <w:rPr>
          <w:sz w:val="18"/>
          <w:szCs w:val="18"/>
        </w:rPr>
        <w:t xml:space="preserve"> </w:t>
      </w:r>
      <w:hyperlink r:id="rId3" w:history="1">
        <w:r w:rsidRPr="00B568A5">
          <w:rPr>
            <w:rStyle w:val="Hyperlink"/>
            <w:sz w:val="18"/>
            <w:szCs w:val="18"/>
          </w:rPr>
          <w:t>http://foodregulation.gov.au/internet/fr/publishing.nsf/Content/publication-Policy-Guideline-on-the-Addition-of-Substances-other-than-Vitamins-and-Minerals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031A4077" w:rsidR="00192A16" w:rsidRDefault="00192A16">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11A0"/>
    <w:multiLevelType w:val="hybridMultilevel"/>
    <w:tmpl w:val="CAA84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43F72C5"/>
    <w:multiLevelType w:val="hybridMultilevel"/>
    <w:tmpl w:val="7634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473E3"/>
    <w:multiLevelType w:val="hybridMultilevel"/>
    <w:tmpl w:val="2F926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662656"/>
    <w:multiLevelType w:val="hybridMultilevel"/>
    <w:tmpl w:val="ED96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F4074"/>
    <w:multiLevelType w:val="hybridMultilevel"/>
    <w:tmpl w:val="704ED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D96487"/>
    <w:multiLevelType w:val="hybridMultilevel"/>
    <w:tmpl w:val="B8E0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048A8"/>
    <w:multiLevelType w:val="hybridMultilevel"/>
    <w:tmpl w:val="4358F6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B327A2"/>
    <w:multiLevelType w:val="hybridMultilevel"/>
    <w:tmpl w:val="583E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550790"/>
    <w:multiLevelType w:val="hybridMultilevel"/>
    <w:tmpl w:val="8AFC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10"/>
  </w:num>
  <w:num w:numId="5">
    <w:abstractNumId w:val="12"/>
  </w:num>
  <w:num w:numId="6">
    <w:abstractNumId w:val="11"/>
  </w:num>
  <w:num w:numId="7">
    <w:abstractNumId w:val="2"/>
  </w:num>
  <w:num w:numId="8">
    <w:abstractNumId w:val="3"/>
  </w:num>
  <w:num w:numId="9">
    <w:abstractNumId w:val="8"/>
  </w:num>
  <w:num w:numId="10">
    <w:abstractNumId w:val="4"/>
  </w:num>
  <w:num w:numId="11">
    <w:abstractNumId w:val="7"/>
  </w:num>
  <w:num w:numId="12">
    <w:abstractNumId w:val="5"/>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247B"/>
    <w:rsid w:val="0000469B"/>
    <w:rsid w:val="00010E79"/>
    <w:rsid w:val="00011187"/>
    <w:rsid w:val="00014E34"/>
    <w:rsid w:val="000332AE"/>
    <w:rsid w:val="00035FF3"/>
    <w:rsid w:val="000418F0"/>
    <w:rsid w:val="000437EE"/>
    <w:rsid w:val="00051021"/>
    <w:rsid w:val="000524F0"/>
    <w:rsid w:val="00052D54"/>
    <w:rsid w:val="00055F7E"/>
    <w:rsid w:val="000576EB"/>
    <w:rsid w:val="00064B2D"/>
    <w:rsid w:val="00065F1F"/>
    <w:rsid w:val="00074A86"/>
    <w:rsid w:val="00076D33"/>
    <w:rsid w:val="00076D3B"/>
    <w:rsid w:val="00077859"/>
    <w:rsid w:val="00077AEA"/>
    <w:rsid w:val="00080906"/>
    <w:rsid w:val="00081B0A"/>
    <w:rsid w:val="000923A6"/>
    <w:rsid w:val="000A0E8D"/>
    <w:rsid w:val="000A3D8B"/>
    <w:rsid w:val="000B427A"/>
    <w:rsid w:val="000B6AF2"/>
    <w:rsid w:val="000C3AFE"/>
    <w:rsid w:val="000D02A2"/>
    <w:rsid w:val="000D6FD4"/>
    <w:rsid w:val="000D7B1C"/>
    <w:rsid w:val="000E0AE4"/>
    <w:rsid w:val="000E1EA4"/>
    <w:rsid w:val="000E3DBC"/>
    <w:rsid w:val="000E662F"/>
    <w:rsid w:val="000F3CFE"/>
    <w:rsid w:val="000F6568"/>
    <w:rsid w:val="00102819"/>
    <w:rsid w:val="00104544"/>
    <w:rsid w:val="0010778D"/>
    <w:rsid w:val="001078EE"/>
    <w:rsid w:val="001122EC"/>
    <w:rsid w:val="001139E8"/>
    <w:rsid w:val="0012388D"/>
    <w:rsid w:val="00123B9F"/>
    <w:rsid w:val="00125BFC"/>
    <w:rsid w:val="00136B57"/>
    <w:rsid w:val="00150B54"/>
    <w:rsid w:val="0015187A"/>
    <w:rsid w:val="00182C4C"/>
    <w:rsid w:val="001878C5"/>
    <w:rsid w:val="00190DC0"/>
    <w:rsid w:val="001925EE"/>
    <w:rsid w:val="00192A16"/>
    <w:rsid w:val="0019399D"/>
    <w:rsid w:val="00197D8D"/>
    <w:rsid w:val="001A1A75"/>
    <w:rsid w:val="001A7E9A"/>
    <w:rsid w:val="001B21E1"/>
    <w:rsid w:val="001C27A3"/>
    <w:rsid w:val="001C587F"/>
    <w:rsid w:val="001C7D39"/>
    <w:rsid w:val="001D17CB"/>
    <w:rsid w:val="001D43F6"/>
    <w:rsid w:val="001E09FA"/>
    <w:rsid w:val="001E6B01"/>
    <w:rsid w:val="001F7F63"/>
    <w:rsid w:val="00202A6F"/>
    <w:rsid w:val="0020373D"/>
    <w:rsid w:val="00203B18"/>
    <w:rsid w:val="0022197C"/>
    <w:rsid w:val="00221D07"/>
    <w:rsid w:val="00224E3B"/>
    <w:rsid w:val="00227E4A"/>
    <w:rsid w:val="002401B8"/>
    <w:rsid w:val="002421C1"/>
    <w:rsid w:val="00250197"/>
    <w:rsid w:val="00256554"/>
    <w:rsid w:val="0026387E"/>
    <w:rsid w:val="002758A0"/>
    <w:rsid w:val="0029204E"/>
    <w:rsid w:val="00292B9B"/>
    <w:rsid w:val="002A0194"/>
    <w:rsid w:val="002A5F8B"/>
    <w:rsid w:val="002A7F6C"/>
    <w:rsid w:val="002B0071"/>
    <w:rsid w:val="002B0E55"/>
    <w:rsid w:val="002B75A6"/>
    <w:rsid w:val="002C1A3B"/>
    <w:rsid w:val="002E16D5"/>
    <w:rsid w:val="002E1820"/>
    <w:rsid w:val="002E53D9"/>
    <w:rsid w:val="002E6BEE"/>
    <w:rsid w:val="002F35EA"/>
    <w:rsid w:val="002F6488"/>
    <w:rsid w:val="00305C54"/>
    <w:rsid w:val="0031016C"/>
    <w:rsid w:val="0031426B"/>
    <w:rsid w:val="00314C3B"/>
    <w:rsid w:val="00317ADC"/>
    <w:rsid w:val="003213F9"/>
    <w:rsid w:val="00323AB6"/>
    <w:rsid w:val="00323DBF"/>
    <w:rsid w:val="00327867"/>
    <w:rsid w:val="00332B12"/>
    <w:rsid w:val="00337CBC"/>
    <w:rsid w:val="003428FC"/>
    <w:rsid w:val="00346622"/>
    <w:rsid w:val="003507DB"/>
    <w:rsid w:val="00351B07"/>
    <w:rsid w:val="0036533D"/>
    <w:rsid w:val="00371B29"/>
    <w:rsid w:val="003766F8"/>
    <w:rsid w:val="00380106"/>
    <w:rsid w:val="00380B86"/>
    <w:rsid w:val="003814F0"/>
    <w:rsid w:val="00381E07"/>
    <w:rsid w:val="003848DB"/>
    <w:rsid w:val="00385788"/>
    <w:rsid w:val="00391769"/>
    <w:rsid w:val="003953E1"/>
    <w:rsid w:val="003956B3"/>
    <w:rsid w:val="003A0A4D"/>
    <w:rsid w:val="003A3D30"/>
    <w:rsid w:val="003A68BE"/>
    <w:rsid w:val="003A76F7"/>
    <w:rsid w:val="003A7B84"/>
    <w:rsid w:val="003C4969"/>
    <w:rsid w:val="003D2704"/>
    <w:rsid w:val="003D2CDC"/>
    <w:rsid w:val="003D3100"/>
    <w:rsid w:val="003E14EF"/>
    <w:rsid w:val="003E41D5"/>
    <w:rsid w:val="003E448D"/>
    <w:rsid w:val="003E46BA"/>
    <w:rsid w:val="003F74C1"/>
    <w:rsid w:val="00401ADE"/>
    <w:rsid w:val="00405B1A"/>
    <w:rsid w:val="004073A2"/>
    <w:rsid w:val="00410C76"/>
    <w:rsid w:val="00411907"/>
    <w:rsid w:val="00417EE3"/>
    <w:rsid w:val="004207EB"/>
    <w:rsid w:val="00421730"/>
    <w:rsid w:val="00422EC9"/>
    <w:rsid w:val="00423AC7"/>
    <w:rsid w:val="00432A42"/>
    <w:rsid w:val="00437276"/>
    <w:rsid w:val="00453646"/>
    <w:rsid w:val="00454E4B"/>
    <w:rsid w:val="00456B54"/>
    <w:rsid w:val="00456BD5"/>
    <w:rsid w:val="00457997"/>
    <w:rsid w:val="00464643"/>
    <w:rsid w:val="00486793"/>
    <w:rsid w:val="00486C66"/>
    <w:rsid w:val="00494A3F"/>
    <w:rsid w:val="004A2037"/>
    <w:rsid w:val="004A793C"/>
    <w:rsid w:val="004B047B"/>
    <w:rsid w:val="004B4CDC"/>
    <w:rsid w:val="004C67EB"/>
    <w:rsid w:val="004D121E"/>
    <w:rsid w:val="004D1B1C"/>
    <w:rsid w:val="004E533A"/>
    <w:rsid w:val="004F0C58"/>
    <w:rsid w:val="004F4F98"/>
    <w:rsid w:val="004F69F6"/>
    <w:rsid w:val="004F79AC"/>
    <w:rsid w:val="00506E9B"/>
    <w:rsid w:val="005207D8"/>
    <w:rsid w:val="00523930"/>
    <w:rsid w:val="005244F1"/>
    <w:rsid w:val="00537CDC"/>
    <w:rsid w:val="00544278"/>
    <w:rsid w:val="005536E9"/>
    <w:rsid w:val="00560185"/>
    <w:rsid w:val="00562917"/>
    <w:rsid w:val="00571B8C"/>
    <w:rsid w:val="00580DDF"/>
    <w:rsid w:val="005811B7"/>
    <w:rsid w:val="00586228"/>
    <w:rsid w:val="005946D3"/>
    <w:rsid w:val="00597631"/>
    <w:rsid w:val="00597D14"/>
    <w:rsid w:val="005A572E"/>
    <w:rsid w:val="005B084E"/>
    <w:rsid w:val="005B6AF4"/>
    <w:rsid w:val="005C04CB"/>
    <w:rsid w:val="005C4D30"/>
    <w:rsid w:val="005C71F8"/>
    <w:rsid w:val="005D16AD"/>
    <w:rsid w:val="005D2016"/>
    <w:rsid w:val="005D72E1"/>
    <w:rsid w:val="005E06C0"/>
    <w:rsid w:val="005E58D3"/>
    <w:rsid w:val="005E6E16"/>
    <w:rsid w:val="005F3D1D"/>
    <w:rsid w:val="005F400E"/>
    <w:rsid w:val="005F7342"/>
    <w:rsid w:val="00610A3C"/>
    <w:rsid w:val="006138D7"/>
    <w:rsid w:val="00615E83"/>
    <w:rsid w:val="00616017"/>
    <w:rsid w:val="00622571"/>
    <w:rsid w:val="00627F48"/>
    <w:rsid w:val="0063455F"/>
    <w:rsid w:val="00635814"/>
    <w:rsid w:val="00663C53"/>
    <w:rsid w:val="00663FCF"/>
    <w:rsid w:val="006652A2"/>
    <w:rsid w:val="00683071"/>
    <w:rsid w:val="0068355E"/>
    <w:rsid w:val="00692490"/>
    <w:rsid w:val="006924DD"/>
    <w:rsid w:val="006969CC"/>
    <w:rsid w:val="00696A15"/>
    <w:rsid w:val="006A48A7"/>
    <w:rsid w:val="006A516B"/>
    <w:rsid w:val="006A5D40"/>
    <w:rsid w:val="006A68BF"/>
    <w:rsid w:val="006A7AD6"/>
    <w:rsid w:val="006B6DE9"/>
    <w:rsid w:val="006C116D"/>
    <w:rsid w:val="006C22A7"/>
    <w:rsid w:val="006C5CF5"/>
    <w:rsid w:val="006D1581"/>
    <w:rsid w:val="006D25CC"/>
    <w:rsid w:val="006D33FF"/>
    <w:rsid w:val="006D7DD0"/>
    <w:rsid w:val="006E10A1"/>
    <w:rsid w:val="006F2079"/>
    <w:rsid w:val="006F4A82"/>
    <w:rsid w:val="006F68AD"/>
    <w:rsid w:val="00710C37"/>
    <w:rsid w:val="00724FA4"/>
    <w:rsid w:val="00730800"/>
    <w:rsid w:val="007347ED"/>
    <w:rsid w:val="00755F02"/>
    <w:rsid w:val="007602AA"/>
    <w:rsid w:val="00760C15"/>
    <w:rsid w:val="007652EF"/>
    <w:rsid w:val="00765DE1"/>
    <w:rsid w:val="00772BDC"/>
    <w:rsid w:val="0077637E"/>
    <w:rsid w:val="00777437"/>
    <w:rsid w:val="007776B4"/>
    <w:rsid w:val="00780792"/>
    <w:rsid w:val="0078309E"/>
    <w:rsid w:val="0078471E"/>
    <w:rsid w:val="00795D86"/>
    <w:rsid w:val="007A44B4"/>
    <w:rsid w:val="007A53BF"/>
    <w:rsid w:val="007A7D3D"/>
    <w:rsid w:val="007B225D"/>
    <w:rsid w:val="007B2F68"/>
    <w:rsid w:val="007B37B3"/>
    <w:rsid w:val="007B4D10"/>
    <w:rsid w:val="007C1C64"/>
    <w:rsid w:val="007C22CB"/>
    <w:rsid w:val="007D0189"/>
    <w:rsid w:val="007D37DB"/>
    <w:rsid w:val="007E0982"/>
    <w:rsid w:val="007E48BC"/>
    <w:rsid w:val="007E79F7"/>
    <w:rsid w:val="007F3630"/>
    <w:rsid w:val="007F7BF7"/>
    <w:rsid w:val="00807559"/>
    <w:rsid w:val="00813464"/>
    <w:rsid w:val="00826964"/>
    <w:rsid w:val="00831154"/>
    <w:rsid w:val="0084301B"/>
    <w:rsid w:val="008450BC"/>
    <w:rsid w:val="00847066"/>
    <w:rsid w:val="00850B09"/>
    <w:rsid w:val="00852BC2"/>
    <w:rsid w:val="0085334B"/>
    <w:rsid w:val="008537BA"/>
    <w:rsid w:val="0085538C"/>
    <w:rsid w:val="00856682"/>
    <w:rsid w:val="00856712"/>
    <w:rsid w:val="00860808"/>
    <w:rsid w:val="00861C13"/>
    <w:rsid w:val="00862349"/>
    <w:rsid w:val="0086571E"/>
    <w:rsid w:val="00870214"/>
    <w:rsid w:val="00871116"/>
    <w:rsid w:val="008736F5"/>
    <w:rsid w:val="00885C51"/>
    <w:rsid w:val="00896B85"/>
    <w:rsid w:val="008A243D"/>
    <w:rsid w:val="008A51CF"/>
    <w:rsid w:val="008C4E76"/>
    <w:rsid w:val="008D06C6"/>
    <w:rsid w:val="008D5E9D"/>
    <w:rsid w:val="008E6250"/>
    <w:rsid w:val="008F461C"/>
    <w:rsid w:val="009035AE"/>
    <w:rsid w:val="00917C6F"/>
    <w:rsid w:val="00920249"/>
    <w:rsid w:val="00932F14"/>
    <w:rsid w:val="0094247F"/>
    <w:rsid w:val="00942D60"/>
    <w:rsid w:val="0094358A"/>
    <w:rsid w:val="00945246"/>
    <w:rsid w:val="009460FA"/>
    <w:rsid w:val="00947534"/>
    <w:rsid w:val="009478A1"/>
    <w:rsid w:val="0096523B"/>
    <w:rsid w:val="00972D06"/>
    <w:rsid w:val="0099323D"/>
    <w:rsid w:val="00993693"/>
    <w:rsid w:val="0099623A"/>
    <w:rsid w:val="009A2699"/>
    <w:rsid w:val="009A2DC9"/>
    <w:rsid w:val="009A391C"/>
    <w:rsid w:val="009A5337"/>
    <w:rsid w:val="009E0A61"/>
    <w:rsid w:val="009E154E"/>
    <w:rsid w:val="009E3010"/>
    <w:rsid w:val="009E46F5"/>
    <w:rsid w:val="009F7065"/>
    <w:rsid w:val="00A07838"/>
    <w:rsid w:val="00A11B46"/>
    <w:rsid w:val="00A12784"/>
    <w:rsid w:val="00A21B61"/>
    <w:rsid w:val="00A2449C"/>
    <w:rsid w:val="00A25F64"/>
    <w:rsid w:val="00A318EB"/>
    <w:rsid w:val="00A50AFA"/>
    <w:rsid w:val="00A5395C"/>
    <w:rsid w:val="00A551B9"/>
    <w:rsid w:val="00A56DC7"/>
    <w:rsid w:val="00A66FDD"/>
    <w:rsid w:val="00A671E6"/>
    <w:rsid w:val="00A709E5"/>
    <w:rsid w:val="00A74FD1"/>
    <w:rsid w:val="00A84A58"/>
    <w:rsid w:val="00A85855"/>
    <w:rsid w:val="00A929A9"/>
    <w:rsid w:val="00A96594"/>
    <w:rsid w:val="00AA41BA"/>
    <w:rsid w:val="00AA6D0D"/>
    <w:rsid w:val="00AA6FA3"/>
    <w:rsid w:val="00AC428E"/>
    <w:rsid w:val="00AC4D1A"/>
    <w:rsid w:val="00AD344F"/>
    <w:rsid w:val="00AE4FFD"/>
    <w:rsid w:val="00AE70CC"/>
    <w:rsid w:val="00AF130A"/>
    <w:rsid w:val="00AF24FA"/>
    <w:rsid w:val="00AF387F"/>
    <w:rsid w:val="00AF397D"/>
    <w:rsid w:val="00B00E7F"/>
    <w:rsid w:val="00B17112"/>
    <w:rsid w:val="00B17C2E"/>
    <w:rsid w:val="00B21055"/>
    <w:rsid w:val="00B21DCC"/>
    <w:rsid w:val="00B25F37"/>
    <w:rsid w:val="00B37158"/>
    <w:rsid w:val="00B425AA"/>
    <w:rsid w:val="00B44422"/>
    <w:rsid w:val="00B46EA0"/>
    <w:rsid w:val="00B52A12"/>
    <w:rsid w:val="00B55714"/>
    <w:rsid w:val="00B63BBA"/>
    <w:rsid w:val="00B710BF"/>
    <w:rsid w:val="00B731D3"/>
    <w:rsid w:val="00B75B57"/>
    <w:rsid w:val="00B77C18"/>
    <w:rsid w:val="00B811B3"/>
    <w:rsid w:val="00B839A3"/>
    <w:rsid w:val="00B902BD"/>
    <w:rsid w:val="00B92501"/>
    <w:rsid w:val="00BA1009"/>
    <w:rsid w:val="00BB0EC9"/>
    <w:rsid w:val="00BD2A39"/>
    <w:rsid w:val="00BD2E80"/>
    <w:rsid w:val="00BD49FF"/>
    <w:rsid w:val="00BD4B64"/>
    <w:rsid w:val="00BD77E1"/>
    <w:rsid w:val="00BE11B8"/>
    <w:rsid w:val="00BF0432"/>
    <w:rsid w:val="00BF4029"/>
    <w:rsid w:val="00BF45A3"/>
    <w:rsid w:val="00BF51CE"/>
    <w:rsid w:val="00BF541F"/>
    <w:rsid w:val="00BF7FF0"/>
    <w:rsid w:val="00C11502"/>
    <w:rsid w:val="00C11AEA"/>
    <w:rsid w:val="00C12502"/>
    <w:rsid w:val="00C26B3B"/>
    <w:rsid w:val="00C27194"/>
    <w:rsid w:val="00C300D0"/>
    <w:rsid w:val="00C40AA5"/>
    <w:rsid w:val="00C46F70"/>
    <w:rsid w:val="00C476D0"/>
    <w:rsid w:val="00C51122"/>
    <w:rsid w:val="00C6434A"/>
    <w:rsid w:val="00C64555"/>
    <w:rsid w:val="00C71FBF"/>
    <w:rsid w:val="00C74398"/>
    <w:rsid w:val="00C830B9"/>
    <w:rsid w:val="00C836E3"/>
    <w:rsid w:val="00C836FF"/>
    <w:rsid w:val="00C854DC"/>
    <w:rsid w:val="00C86577"/>
    <w:rsid w:val="00C91C02"/>
    <w:rsid w:val="00C92C9F"/>
    <w:rsid w:val="00C92E07"/>
    <w:rsid w:val="00C95C84"/>
    <w:rsid w:val="00C96868"/>
    <w:rsid w:val="00CA0416"/>
    <w:rsid w:val="00CA5734"/>
    <w:rsid w:val="00CB115C"/>
    <w:rsid w:val="00CB2641"/>
    <w:rsid w:val="00CC3764"/>
    <w:rsid w:val="00CC3A35"/>
    <w:rsid w:val="00CC5468"/>
    <w:rsid w:val="00CC560B"/>
    <w:rsid w:val="00CC75E2"/>
    <w:rsid w:val="00CD46EB"/>
    <w:rsid w:val="00CD7EBF"/>
    <w:rsid w:val="00CE59AA"/>
    <w:rsid w:val="00CF0E86"/>
    <w:rsid w:val="00CF15A1"/>
    <w:rsid w:val="00CF5474"/>
    <w:rsid w:val="00D00DFA"/>
    <w:rsid w:val="00D056F1"/>
    <w:rsid w:val="00D06616"/>
    <w:rsid w:val="00D144D7"/>
    <w:rsid w:val="00D15A08"/>
    <w:rsid w:val="00D23DB6"/>
    <w:rsid w:val="00D51A95"/>
    <w:rsid w:val="00D60568"/>
    <w:rsid w:val="00D617EA"/>
    <w:rsid w:val="00D6409B"/>
    <w:rsid w:val="00D70C7A"/>
    <w:rsid w:val="00D70CCF"/>
    <w:rsid w:val="00D72A29"/>
    <w:rsid w:val="00D834E5"/>
    <w:rsid w:val="00D90705"/>
    <w:rsid w:val="00D96C9C"/>
    <w:rsid w:val="00DA10A8"/>
    <w:rsid w:val="00DA3140"/>
    <w:rsid w:val="00DB123A"/>
    <w:rsid w:val="00DB1E08"/>
    <w:rsid w:val="00DB2973"/>
    <w:rsid w:val="00DB40B2"/>
    <w:rsid w:val="00DB41DB"/>
    <w:rsid w:val="00DC0FBA"/>
    <w:rsid w:val="00DC1B56"/>
    <w:rsid w:val="00DC20CC"/>
    <w:rsid w:val="00DC2129"/>
    <w:rsid w:val="00DC6570"/>
    <w:rsid w:val="00DC7C4A"/>
    <w:rsid w:val="00DD265C"/>
    <w:rsid w:val="00DD3703"/>
    <w:rsid w:val="00DE0144"/>
    <w:rsid w:val="00DE5528"/>
    <w:rsid w:val="00DF25C3"/>
    <w:rsid w:val="00DF5CFF"/>
    <w:rsid w:val="00DF72BB"/>
    <w:rsid w:val="00E04062"/>
    <w:rsid w:val="00E063C6"/>
    <w:rsid w:val="00E14C19"/>
    <w:rsid w:val="00E2003B"/>
    <w:rsid w:val="00E20559"/>
    <w:rsid w:val="00E26887"/>
    <w:rsid w:val="00E279D8"/>
    <w:rsid w:val="00E30092"/>
    <w:rsid w:val="00E3011E"/>
    <w:rsid w:val="00E319B1"/>
    <w:rsid w:val="00E327A6"/>
    <w:rsid w:val="00E351F9"/>
    <w:rsid w:val="00E3684F"/>
    <w:rsid w:val="00E47D3B"/>
    <w:rsid w:val="00E51B87"/>
    <w:rsid w:val="00E5492F"/>
    <w:rsid w:val="00E572B1"/>
    <w:rsid w:val="00E62078"/>
    <w:rsid w:val="00E630F8"/>
    <w:rsid w:val="00E6369A"/>
    <w:rsid w:val="00E70A86"/>
    <w:rsid w:val="00E73E50"/>
    <w:rsid w:val="00E777EC"/>
    <w:rsid w:val="00E80FCD"/>
    <w:rsid w:val="00E92E6F"/>
    <w:rsid w:val="00E953C3"/>
    <w:rsid w:val="00EA2226"/>
    <w:rsid w:val="00EA7DB0"/>
    <w:rsid w:val="00EA7F2F"/>
    <w:rsid w:val="00EB1F85"/>
    <w:rsid w:val="00EB576F"/>
    <w:rsid w:val="00EB6590"/>
    <w:rsid w:val="00EC00DE"/>
    <w:rsid w:val="00EC21DF"/>
    <w:rsid w:val="00EC30E1"/>
    <w:rsid w:val="00EC3436"/>
    <w:rsid w:val="00EC3B70"/>
    <w:rsid w:val="00EC66BB"/>
    <w:rsid w:val="00ED172A"/>
    <w:rsid w:val="00EE01DC"/>
    <w:rsid w:val="00EE7A18"/>
    <w:rsid w:val="00EF55AD"/>
    <w:rsid w:val="00F02035"/>
    <w:rsid w:val="00F10F6D"/>
    <w:rsid w:val="00F14AB3"/>
    <w:rsid w:val="00F14BEC"/>
    <w:rsid w:val="00F17492"/>
    <w:rsid w:val="00F224B7"/>
    <w:rsid w:val="00F225C5"/>
    <w:rsid w:val="00F23FB1"/>
    <w:rsid w:val="00F2587A"/>
    <w:rsid w:val="00F33470"/>
    <w:rsid w:val="00F34E02"/>
    <w:rsid w:val="00F3715D"/>
    <w:rsid w:val="00F37A10"/>
    <w:rsid w:val="00F420C8"/>
    <w:rsid w:val="00F42A4C"/>
    <w:rsid w:val="00F526BD"/>
    <w:rsid w:val="00F634A1"/>
    <w:rsid w:val="00F7284F"/>
    <w:rsid w:val="00F8103A"/>
    <w:rsid w:val="00FA0549"/>
    <w:rsid w:val="00FB53D6"/>
    <w:rsid w:val="00FB7512"/>
    <w:rsid w:val="00FD7547"/>
    <w:rsid w:val="00FE287B"/>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D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1"/>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uiPriority w:val="99"/>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D90705"/>
    <w:pPr>
      <w:ind w:left="720"/>
      <w:contextualSpacing/>
    </w:pPr>
  </w:style>
  <w:style w:type="table" w:customStyle="1" w:styleId="TableGrid1">
    <w:name w:val="Table Grid1"/>
    <w:basedOn w:val="TableNormal"/>
    <w:next w:val="TableGrid"/>
    <w:uiPriority w:val="59"/>
    <w:rsid w:val="00C11502"/>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C11502"/>
    <w:rPr>
      <w:rFonts w:ascii="Arial" w:eastAsiaTheme="minorHAnsi" w:hAnsi="Arial"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1502"/>
    <w:rPr>
      <w:rFonts w:ascii="Arial" w:eastAsia="Calibri" w:hAnsi="Arial"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oodstandards.gov.au/code/applications/Documents/A1180%20SD1.docx?csf=1&amp;e=Xo9kg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da.gov/media/113331/download" TargetMode="Externa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foodstandards.gov.au/code/applications/Pages/A1180.aspx" TargetMode="External"/><Relationship Id="rId14" Type="http://schemas.openxmlformats.org/officeDocument/2006/relationships/hyperlink" Target="http://foodregulation.gov.au/internet/fr/publishing.nsf/Content/publication-Policy-Guideline-on-the-Addition-of-Substances-other-than-Vitamins-and-Mineral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oodregulation.gov.au/internet/fr/publishing.nsf/Content/publication-Policy-Guideline-on-the-Addition-of-Substances-other-than-Vitamins-and-Minerals" TargetMode="External"/><Relationship Id="rId2" Type="http://schemas.openxmlformats.org/officeDocument/2006/relationships/hyperlink" Target="https://www.fda.gov/media/113331/download" TargetMode="External"/><Relationship Id="rId1" Type="http://schemas.openxmlformats.org/officeDocument/2006/relationships/hyperlink" Target="https://www.fda.gov/media/113331/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69A4D8-490A-4DE2-ACA6-6AE09838199B}"/>
</file>

<file path=customXml/itemProps2.xml><?xml version="1.0" encoding="utf-8"?>
<ds:datastoreItem xmlns:ds="http://schemas.openxmlformats.org/officeDocument/2006/customXml" ds:itemID="{296B04BA-C1E2-4ADC-8E8E-F76631467ADB}"/>
</file>

<file path=customXml/itemProps3.xml><?xml version="1.0" encoding="utf-8"?>
<ds:datastoreItem xmlns:ds="http://schemas.openxmlformats.org/officeDocument/2006/customXml" ds:itemID="{FFD193B8-B93E-43EE-834F-84E443D50779}"/>
</file>

<file path=customXml/itemProps4.xml><?xml version="1.0" encoding="utf-8"?>
<ds:datastoreItem xmlns:ds="http://schemas.openxmlformats.org/officeDocument/2006/customXml" ds:itemID="{F98303CF-1FBC-4882-B7B3-E5598440B600}"/>
</file>

<file path=docProps/app.xml><?xml version="1.0" encoding="utf-8"?>
<Properties xmlns="http://schemas.openxmlformats.org/officeDocument/2006/extended-properties" xmlns:vt="http://schemas.openxmlformats.org/officeDocument/2006/docPropsVTypes">
  <Template>Normal</Template>
  <TotalTime>0</TotalTime>
  <Pages>18</Pages>
  <Words>6517</Words>
  <Characters>37151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2020-12-14T09:07:00Z</dcterms:created>
  <dcterms:modified xsi:type="dcterms:W3CDTF">2020-12-14T09:08:00Z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b91c6d1f-2455-4811-a918-d146a3f9dd18</vt:lpwstr>
  </property>
  <property fmtid="{D5CDD505-2E9C-101B-9397-08002B2CF9AE}" pid="3"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ContentTypeId">
    <vt:lpwstr>0x010100CB2FFA9FD6109347A9495CD5860AFAE6</vt:lpwstr>
  </property>
</Properties>
</file>